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03625" w14:textId="77777777" w:rsidR="00D93E2A" w:rsidRPr="00265EA9" w:rsidRDefault="00D93E2A" w:rsidP="00FE3DFF">
      <w:pPr>
        <w:spacing w:after="0"/>
        <w:jc w:val="center"/>
        <w:rPr>
          <w:rFonts w:ascii="Times New Roman félkövér" w:hAnsi="Times New Roman félkövér" w:cs="Times New Roman"/>
          <w:b/>
          <w:smallCaps/>
          <w:sz w:val="24"/>
          <w:szCs w:val="24"/>
        </w:rPr>
      </w:pPr>
      <w:r w:rsidRPr="00265EA9">
        <w:rPr>
          <w:rFonts w:ascii="Times New Roman félkövér" w:hAnsi="Times New Roman félkövér" w:cs="Times New Roman"/>
          <w:b/>
          <w:smallCaps/>
          <w:sz w:val="24"/>
          <w:szCs w:val="24"/>
        </w:rPr>
        <w:t>Az Igazságügyi Minisztérium vitaanyaga</w:t>
      </w:r>
    </w:p>
    <w:p w14:paraId="4DE9F7AB" w14:textId="77777777" w:rsidR="00D93E2A" w:rsidRDefault="00D93E2A" w:rsidP="00FE3DFF">
      <w:pPr>
        <w:spacing w:after="0"/>
        <w:jc w:val="center"/>
        <w:rPr>
          <w:rFonts w:ascii="Times New Roman" w:hAnsi="Times New Roman" w:cs="Times New Roman"/>
          <w:b/>
          <w:sz w:val="24"/>
          <w:szCs w:val="24"/>
        </w:rPr>
      </w:pPr>
      <w:r w:rsidRPr="00265EA9">
        <w:rPr>
          <w:rFonts w:ascii="Times New Roman" w:hAnsi="Times New Roman" w:cs="Times New Roman"/>
          <w:b/>
          <w:sz w:val="24"/>
          <w:szCs w:val="24"/>
        </w:rPr>
        <w:t>a</w:t>
      </w:r>
      <w:r w:rsidR="004E4A85">
        <w:rPr>
          <w:rFonts w:ascii="Times New Roman" w:hAnsi="Times New Roman" w:cs="Times New Roman"/>
          <w:b/>
          <w:sz w:val="24"/>
          <w:szCs w:val="24"/>
        </w:rPr>
        <w:t xml:space="preserve"> Bolar </w:t>
      </w:r>
      <w:r w:rsidRPr="00265EA9">
        <w:rPr>
          <w:rFonts w:ascii="Times New Roman" w:hAnsi="Times New Roman" w:cs="Times New Roman"/>
          <w:b/>
          <w:sz w:val="24"/>
          <w:szCs w:val="24"/>
        </w:rPr>
        <w:t>kivétel felülvizsgálatának lehetőségeiről</w:t>
      </w:r>
    </w:p>
    <w:p w14:paraId="23CF3261" w14:textId="4C44A4FC" w:rsidR="0052048D" w:rsidRPr="00265EA9" w:rsidRDefault="0052048D" w:rsidP="00FE3DF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2020. </w:t>
      </w:r>
      <w:r w:rsidR="00121927">
        <w:rPr>
          <w:rFonts w:ascii="Times New Roman" w:hAnsi="Times New Roman" w:cs="Times New Roman"/>
          <w:b/>
          <w:sz w:val="24"/>
          <w:szCs w:val="24"/>
        </w:rPr>
        <w:t>december 1.</w:t>
      </w:r>
    </w:p>
    <w:p w14:paraId="5ECC6789" w14:textId="77777777" w:rsidR="00A55997" w:rsidRPr="00265EA9" w:rsidRDefault="00A55997" w:rsidP="00FE3DFF">
      <w:pPr>
        <w:spacing w:after="0"/>
        <w:jc w:val="center"/>
        <w:rPr>
          <w:b/>
          <w:sz w:val="24"/>
          <w:szCs w:val="24"/>
        </w:rPr>
      </w:pPr>
    </w:p>
    <w:p w14:paraId="62ACEABA" w14:textId="0E15FCFC" w:rsidR="00194ECF" w:rsidRPr="00265EA9" w:rsidRDefault="001C68E1" w:rsidP="00FE3DFF">
      <w:pPr>
        <w:spacing w:after="0"/>
        <w:jc w:val="both"/>
        <w:rPr>
          <w:rFonts w:ascii="Times New Roman" w:hAnsi="Times New Roman" w:cs="Times New Roman"/>
          <w:sz w:val="24"/>
          <w:szCs w:val="24"/>
        </w:rPr>
      </w:pPr>
      <w:r w:rsidRPr="00265EA9">
        <w:rPr>
          <w:rFonts w:ascii="Times New Roman" w:hAnsi="Times New Roman" w:cs="Times New Roman"/>
          <w:sz w:val="24"/>
          <w:szCs w:val="24"/>
        </w:rPr>
        <w:t>Az Igazságügyi Minisztérium</w:t>
      </w:r>
      <w:r w:rsidR="00921B82">
        <w:rPr>
          <w:rFonts w:ascii="Times New Roman" w:hAnsi="Times New Roman" w:cs="Times New Roman"/>
          <w:sz w:val="24"/>
          <w:szCs w:val="24"/>
        </w:rPr>
        <w:t xml:space="preserve"> (a továbbiakban: IM)</w:t>
      </w:r>
      <w:r w:rsidR="00466471">
        <w:rPr>
          <w:rFonts w:ascii="Times New Roman" w:hAnsi="Times New Roman" w:cs="Times New Roman"/>
          <w:sz w:val="24"/>
          <w:szCs w:val="24"/>
        </w:rPr>
        <w:t xml:space="preserve"> 2021</w:t>
      </w:r>
      <w:r w:rsidRPr="00265EA9">
        <w:rPr>
          <w:rFonts w:ascii="Times New Roman" w:hAnsi="Times New Roman" w:cs="Times New Roman"/>
          <w:sz w:val="24"/>
          <w:szCs w:val="24"/>
        </w:rPr>
        <w:t xml:space="preserve"> </w:t>
      </w:r>
      <w:r w:rsidR="00466471">
        <w:rPr>
          <w:rFonts w:ascii="Times New Roman" w:hAnsi="Times New Roman" w:cs="Times New Roman"/>
          <w:sz w:val="24"/>
          <w:szCs w:val="24"/>
        </w:rPr>
        <w:t>év elején</w:t>
      </w:r>
      <w:r w:rsidR="00604D5F">
        <w:rPr>
          <w:rFonts w:ascii="Times New Roman" w:hAnsi="Times New Roman" w:cs="Times New Roman"/>
          <w:sz w:val="24"/>
          <w:szCs w:val="24"/>
        </w:rPr>
        <w:t xml:space="preserve"> </w:t>
      </w:r>
      <w:r w:rsidRPr="00265EA9">
        <w:rPr>
          <w:rFonts w:ascii="Times New Roman" w:hAnsi="Times New Roman" w:cs="Times New Roman"/>
          <w:sz w:val="24"/>
          <w:szCs w:val="24"/>
        </w:rPr>
        <w:t>műhely</w:t>
      </w:r>
      <w:r w:rsidR="002C3D21" w:rsidRPr="00265EA9">
        <w:rPr>
          <w:rFonts w:ascii="Times New Roman" w:hAnsi="Times New Roman" w:cs="Times New Roman"/>
          <w:sz w:val="24"/>
          <w:szCs w:val="24"/>
        </w:rPr>
        <w:t xml:space="preserve">beszélgetést </w:t>
      </w:r>
      <w:r w:rsidRPr="00265EA9">
        <w:rPr>
          <w:rFonts w:ascii="Times New Roman" w:hAnsi="Times New Roman" w:cs="Times New Roman"/>
          <w:sz w:val="24"/>
          <w:szCs w:val="24"/>
        </w:rPr>
        <w:t>szervez</w:t>
      </w:r>
      <w:r w:rsidR="00D0150A" w:rsidRPr="00265EA9">
        <w:rPr>
          <w:rFonts w:ascii="Times New Roman" w:hAnsi="Times New Roman" w:cs="Times New Roman"/>
          <w:sz w:val="24"/>
          <w:szCs w:val="24"/>
        </w:rPr>
        <w:t xml:space="preserve"> </w:t>
      </w:r>
      <w:r w:rsidR="00D0150A" w:rsidRPr="00466471">
        <w:rPr>
          <w:rFonts w:ascii="Times New Roman" w:hAnsi="Times New Roman" w:cs="Times New Roman"/>
          <w:i/>
          <w:iCs/>
          <w:sz w:val="24"/>
          <w:szCs w:val="24"/>
        </w:rPr>
        <w:t xml:space="preserve">a találmányok szabadalmi oltalmáról </w:t>
      </w:r>
      <w:r w:rsidR="00D0150A" w:rsidRPr="00265EA9">
        <w:rPr>
          <w:rFonts w:ascii="Times New Roman" w:hAnsi="Times New Roman" w:cs="Times New Roman"/>
          <w:sz w:val="24"/>
          <w:szCs w:val="24"/>
        </w:rPr>
        <w:t>szóló</w:t>
      </w:r>
      <w:r w:rsidR="00E93F42" w:rsidRPr="00265EA9">
        <w:rPr>
          <w:rFonts w:ascii="Times New Roman" w:hAnsi="Times New Roman" w:cs="Times New Roman"/>
          <w:sz w:val="24"/>
          <w:szCs w:val="24"/>
        </w:rPr>
        <w:t xml:space="preserve"> 1995. évi XXXIII.</w:t>
      </w:r>
      <w:r w:rsidR="00D0150A" w:rsidRPr="00265EA9">
        <w:rPr>
          <w:rFonts w:ascii="Times New Roman" w:hAnsi="Times New Roman" w:cs="Times New Roman"/>
          <w:sz w:val="24"/>
          <w:szCs w:val="24"/>
        </w:rPr>
        <w:t xml:space="preserve"> törvény</w:t>
      </w:r>
      <w:r w:rsidR="00E93F42" w:rsidRPr="00265EA9">
        <w:rPr>
          <w:rFonts w:ascii="Times New Roman" w:hAnsi="Times New Roman" w:cs="Times New Roman"/>
          <w:sz w:val="24"/>
          <w:szCs w:val="24"/>
        </w:rPr>
        <w:t xml:space="preserve"> (a továbbiakban: Szt.)</w:t>
      </w:r>
      <w:r w:rsidR="00D0150A" w:rsidRPr="00265EA9">
        <w:rPr>
          <w:rFonts w:ascii="Times New Roman" w:hAnsi="Times New Roman" w:cs="Times New Roman"/>
          <w:sz w:val="24"/>
          <w:szCs w:val="24"/>
        </w:rPr>
        <w:t xml:space="preserve"> lehetséges </w:t>
      </w:r>
      <w:r w:rsidR="006D1FB3" w:rsidRPr="00265EA9">
        <w:rPr>
          <w:rFonts w:ascii="Times New Roman" w:hAnsi="Times New Roman" w:cs="Times New Roman"/>
          <w:sz w:val="24"/>
          <w:szCs w:val="24"/>
        </w:rPr>
        <w:t>módosítás</w:t>
      </w:r>
      <w:r w:rsidR="006D1FB3">
        <w:rPr>
          <w:rFonts w:ascii="Times New Roman" w:hAnsi="Times New Roman" w:cs="Times New Roman"/>
          <w:sz w:val="24"/>
          <w:szCs w:val="24"/>
        </w:rPr>
        <w:t>ával</w:t>
      </w:r>
      <w:r w:rsidR="006D1FB3" w:rsidRPr="00265EA9">
        <w:rPr>
          <w:rFonts w:ascii="Times New Roman" w:hAnsi="Times New Roman" w:cs="Times New Roman"/>
          <w:sz w:val="24"/>
          <w:szCs w:val="24"/>
        </w:rPr>
        <w:t xml:space="preserve"> </w:t>
      </w:r>
      <w:r w:rsidR="0067182A" w:rsidRPr="00265EA9">
        <w:rPr>
          <w:rFonts w:ascii="Times New Roman" w:hAnsi="Times New Roman" w:cs="Times New Roman"/>
          <w:sz w:val="24"/>
          <w:szCs w:val="24"/>
        </w:rPr>
        <w:t>összefüggésben</w:t>
      </w:r>
      <w:r w:rsidRPr="00265EA9">
        <w:rPr>
          <w:rFonts w:ascii="Times New Roman" w:hAnsi="Times New Roman" w:cs="Times New Roman"/>
          <w:sz w:val="24"/>
          <w:szCs w:val="24"/>
        </w:rPr>
        <w:t xml:space="preserve">. A megbeszélés </w:t>
      </w:r>
      <w:r w:rsidR="0052048D">
        <w:rPr>
          <w:rFonts w:ascii="Times New Roman" w:hAnsi="Times New Roman" w:cs="Times New Roman"/>
          <w:sz w:val="24"/>
          <w:szCs w:val="24"/>
        </w:rPr>
        <w:t xml:space="preserve">egyik </w:t>
      </w:r>
      <w:r w:rsidRPr="00265EA9">
        <w:rPr>
          <w:rFonts w:ascii="Times New Roman" w:hAnsi="Times New Roman" w:cs="Times New Roman"/>
          <w:sz w:val="24"/>
          <w:szCs w:val="24"/>
        </w:rPr>
        <w:t>témája</w:t>
      </w:r>
      <w:r w:rsidR="0067182A" w:rsidRPr="00265EA9">
        <w:rPr>
          <w:rFonts w:ascii="Times New Roman" w:hAnsi="Times New Roman" w:cs="Times New Roman"/>
          <w:sz w:val="24"/>
          <w:szCs w:val="24"/>
        </w:rPr>
        <w:t xml:space="preserve"> a</w:t>
      </w:r>
      <w:r w:rsidR="00D93E2A" w:rsidRPr="00265EA9">
        <w:rPr>
          <w:rFonts w:ascii="Times New Roman" w:hAnsi="Times New Roman" w:cs="Times New Roman"/>
          <w:sz w:val="24"/>
          <w:szCs w:val="24"/>
        </w:rPr>
        <w:t xml:space="preserve">z Szt. 19. § (6) bekezdés </w:t>
      </w:r>
      <w:r w:rsidR="00D93E2A" w:rsidRPr="00CC2E31">
        <w:rPr>
          <w:rFonts w:ascii="Times New Roman" w:hAnsi="Times New Roman" w:cs="Times New Roman"/>
          <w:i/>
          <w:sz w:val="24"/>
          <w:szCs w:val="24"/>
        </w:rPr>
        <w:t>b)</w:t>
      </w:r>
      <w:r w:rsidR="00D93E2A" w:rsidRPr="00265EA9">
        <w:rPr>
          <w:rFonts w:ascii="Times New Roman" w:hAnsi="Times New Roman" w:cs="Times New Roman"/>
          <w:sz w:val="24"/>
          <w:szCs w:val="24"/>
        </w:rPr>
        <w:t xml:space="preserve"> pontjában szabályozott</w:t>
      </w:r>
      <w:r w:rsidR="006D1FB3">
        <w:rPr>
          <w:rFonts w:ascii="Times New Roman" w:hAnsi="Times New Roman" w:cs="Times New Roman"/>
          <w:sz w:val="24"/>
          <w:szCs w:val="24"/>
        </w:rPr>
        <w:t xml:space="preserve"> ún.</w:t>
      </w:r>
      <w:r w:rsidR="00DB73C9" w:rsidRPr="00265EA9">
        <w:rPr>
          <w:rFonts w:ascii="Times New Roman" w:hAnsi="Times New Roman" w:cs="Times New Roman"/>
          <w:sz w:val="24"/>
          <w:szCs w:val="24"/>
        </w:rPr>
        <w:t xml:space="preserve"> </w:t>
      </w:r>
      <w:r w:rsidR="0067182A" w:rsidRPr="00265EA9">
        <w:rPr>
          <w:rFonts w:ascii="Times New Roman" w:hAnsi="Times New Roman" w:cs="Times New Roman"/>
          <w:sz w:val="24"/>
          <w:szCs w:val="24"/>
        </w:rPr>
        <w:t>Bolar</w:t>
      </w:r>
      <w:r w:rsidR="004E4A85">
        <w:rPr>
          <w:rFonts w:ascii="Times New Roman" w:hAnsi="Times New Roman" w:cs="Times New Roman"/>
          <w:sz w:val="24"/>
          <w:szCs w:val="24"/>
        </w:rPr>
        <w:t xml:space="preserve"> </w:t>
      </w:r>
      <w:r w:rsidR="0067182A" w:rsidRPr="00265EA9">
        <w:rPr>
          <w:rFonts w:ascii="Times New Roman" w:hAnsi="Times New Roman" w:cs="Times New Roman"/>
          <w:sz w:val="24"/>
          <w:szCs w:val="24"/>
        </w:rPr>
        <w:t>kivétel</w:t>
      </w:r>
      <w:r w:rsidR="0052048D">
        <w:rPr>
          <w:rFonts w:ascii="Times New Roman" w:hAnsi="Times New Roman" w:cs="Times New Roman"/>
          <w:sz w:val="24"/>
          <w:szCs w:val="24"/>
        </w:rPr>
        <w:t xml:space="preserve"> felülvizsgálatának</w:t>
      </w:r>
      <w:r w:rsidR="00CB4AC3">
        <w:rPr>
          <w:rFonts w:ascii="Times New Roman" w:hAnsi="Times New Roman" w:cs="Times New Roman"/>
          <w:sz w:val="24"/>
          <w:szCs w:val="24"/>
        </w:rPr>
        <w:t xml:space="preserve"> szükségessége és</w:t>
      </w:r>
      <w:r w:rsidR="0052048D">
        <w:rPr>
          <w:rFonts w:ascii="Times New Roman" w:hAnsi="Times New Roman" w:cs="Times New Roman"/>
          <w:sz w:val="24"/>
          <w:szCs w:val="24"/>
        </w:rPr>
        <w:t xml:space="preserve"> lehetősége</w:t>
      </w:r>
      <w:r w:rsidR="00CB4AC3">
        <w:rPr>
          <w:rFonts w:ascii="Times New Roman" w:hAnsi="Times New Roman" w:cs="Times New Roman"/>
          <w:sz w:val="24"/>
          <w:szCs w:val="24"/>
        </w:rPr>
        <w:t>i</w:t>
      </w:r>
      <w:r w:rsidR="00241345" w:rsidRPr="00265EA9">
        <w:rPr>
          <w:rFonts w:ascii="Times New Roman" w:hAnsi="Times New Roman" w:cs="Times New Roman"/>
          <w:sz w:val="24"/>
          <w:szCs w:val="24"/>
        </w:rPr>
        <w:t>.</w:t>
      </w:r>
    </w:p>
    <w:p w14:paraId="1EB5DA5B" w14:textId="77777777" w:rsidR="00241345" w:rsidRDefault="00241345" w:rsidP="00FE3DFF">
      <w:pPr>
        <w:spacing w:after="0"/>
        <w:jc w:val="both"/>
        <w:rPr>
          <w:rFonts w:ascii="Times New Roman" w:hAnsi="Times New Roman" w:cs="Times New Roman"/>
          <w:sz w:val="24"/>
          <w:szCs w:val="24"/>
        </w:rPr>
      </w:pPr>
    </w:p>
    <w:p w14:paraId="5C9954CA" w14:textId="6F36A52D" w:rsidR="00CB4AC3" w:rsidRPr="00410848" w:rsidRDefault="00CB4AC3" w:rsidP="00FE3DFF">
      <w:pPr>
        <w:spacing w:after="0"/>
        <w:jc w:val="both"/>
        <w:rPr>
          <w:rFonts w:ascii="Times New Roman" w:hAnsi="Times New Roman" w:cs="Times New Roman"/>
          <w:b/>
          <w:i/>
          <w:sz w:val="24"/>
          <w:szCs w:val="24"/>
        </w:rPr>
      </w:pPr>
      <w:r w:rsidRPr="00410848">
        <w:rPr>
          <w:rFonts w:ascii="Times New Roman" w:hAnsi="Times New Roman" w:cs="Times New Roman"/>
          <w:b/>
          <w:i/>
          <w:sz w:val="24"/>
          <w:szCs w:val="24"/>
        </w:rPr>
        <w:t>A</w:t>
      </w:r>
      <w:r w:rsidR="006D1FB3">
        <w:rPr>
          <w:rFonts w:ascii="Times New Roman" w:hAnsi="Times New Roman" w:cs="Times New Roman"/>
          <w:b/>
          <w:i/>
          <w:sz w:val="24"/>
          <w:szCs w:val="24"/>
        </w:rPr>
        <w:t xml:space="preserve"> jelen</w:t>
      </w:r>
      <w:r w:rsidRPr="00410848">
        <w:rPr>
          <w:rFonts w:ascii="Times New Roman" w:hAnsi="Times New Roman" w:cs="Times New Roman"/>
          <w:b/>
          <w:i/>
          <w:sz w:val="24"/>
          <w:szCs w:val="24"/>
        </w:rPr>
        <w:t xml:space="preserve"> vitaanyag bemutatja a</w:t>
      </w:r>
      <w:r w:rsidR="00751731" w:rsidRPr="00410848">
        <w:rPr>
          <w:rFonts w:ascii="Times New Roman" w:hAnsi="Times New Roman" w:cs="Times New Roman"/>
          <w:b/>
          <w:i/>
          <w:sz w:val="24"/>
          <w:szCs w:val="24"/>
        </w:rPr>
        <w:t xml:space="preserve"> Bolar kivétel, mint jogintézmény mibenlétét és eredetét, továbbá a </w:t>
      </w:r>
      <w:r w:rsidRPr="00410848">
        <w:rPr>
          <w:rFonts w:ascii="Times New Roman" w:hAnsi="Times New Roman" w:cs="Times New Roman"/>
          <w:b/>
          <w:i/>
          <w:sz w:val="24"/>
          <w:szCs w:val="24"/>
        </w:rPr>
        <w:t>hazai</w:t>
      </w:r>
      <w:r w:rsidR="00751731" w:rsidRPr="00410848">
        <w:rPr>
          <w:rFonts w:ascii="Times New Roman" w:hAnsi="Times New Roman" w:cs="Times New Roman"/>
          <w:b/>
          <w:i/>
          <w:sz w:val="24"/>
          <w:szCs w:val="24"/>
        </w:rPr>
        <w:t xml:space="preserve"> és </w:t>
      </w:r>
      <w:r w:rsidR="00362DE2" w:rsidRPr="00410848">
        <w:rPr>
          <w:rFonts w:ascii="Times New Roman" w:hAnsi="Times New Roman" w:cs="Times New Roman"/>
          <w:b/>
          <w:i/>
          <w:sz w:val="24"/>
          <w:szCs w:val="24"/>
        </w:rPr>
        <w:t>nemzetközi jogszabályi</w:t>
      </w:r>
      <w:r w:rsidR="00751731" w:rsidRPr="00410848">
        <w:rPr>
          <w:rFonts w:ascii="Times New Roman" w:hAnsi="Times New Roman" w:cs="Times New Roman"/>
          <w:b/>
          <w:i/>
          <w:sz w:val="24"/>
          <w:szCs w:val="24"/>
        </w:rPr>
        <w:t xml:space="preserve"> hátteré</w:t>
      </w:r>
      <w:r w:rsidR="00362DE2" w:rsidRPr="00410848">
        <w:rPr>
          <w:rFonts w:ascii="Times New Roman" w:hAnsi="Times New Roman" w:cs="Times New Roman"/>
          <w:b/>
          <w:i/>
          <w:sz w:val="24"/>
          <w:szCs w:val="24"/>
        </w:rPr>
        <w:t xml:space="preserve">t. A vitaanyag röviden kitér arra is, hogy egyes iparági szereplőktől kapott visszajelzések szerint miért lenne szükséges a hatályos </w:t>
      </w:r>
      <w:r w:rsidR="006D1FB3">
        <w:rPr>
          <w:rFonts w:ascii="Times New Roman" w:hAnsi="Times New Roman" w:cs="Times New Roman"/>
          <w:b/>
          <w:i/>
          <w:sz w:val="24"/>
          <w:szCs w:val="24"/>
        </w:rPr>
        <w:t xml:space="preserve">magyar </w:t>
      </w:r>
      <w:r w:rsidR="00362DE2" w:rsidRPr="00410848">
        <w:rPr>
          <w:rFonts w:ascii="Times New Roman" w:hAnsi="Times New Roman" w:cs="Times New Roman"/>
          <w:b/>
          <w:i/>
          <w:sz w:val="24"/>
          <w:szCs w:val="24"/>
        </w:rPr>
        <w:t xml:space="preserve">szabályozás felülvizsgálata </w:t>
      </w:r>
      <w:r w:rsidR="003D1E16" w:rsidRPr="00410848">
        <w:rPr>
          <w:rFonts w:ascii="Times New Roman" w:hAnsi="Times New Roman" w:cs="Times New Roman"/>
          <w:b/>
          <w:i/>
          <w:sz w:val="24"/>
          <w:szCs w:val="24"/>
        </w:rPr>
        <w:t>(</w:t>
      </w:r>
      <w:r w:rsidRPr="00410848">
        <w:rPr>
          <w:rFonts w:ascii="Times New Roman" w:hAnsi="Times New Roman" w:cs="Times New Roman"/>
          <w:b/>
          <w:i/>
          <w:sz w:val="24"/>
          <w:szCs w:val="24"/>
        </w:rPr>
        <w:t xml:space="preserve">a teljesség igénye nélkül). A vitaanyag célja, hogy </w:t>
      </w:r>
      <w:r w:rsidR="003D1E16" w:rsidRPr="00410848">
        <w:rPr>
          <w:rFonts w:ascii="Times New Roman" w:hAnsi="Times New Roman" w:cs="Times New Roman"/>
          <w:b/>
          <w:i/>
          <w:sz w:val="24"/>
          <w:szCs w:val="24"/>
        </w:rPr>
        <w:t xml:space="preserve">a </w:t>
      </w:r>
      <w:r w:rsidRPr="00410848">
        <w:rPr>
          <w:rFonts w:ascii="Times New Roman" w:hAnsi="Times New Roman" w:cs="Times New Roman"/>
          <w:b/>
          <w:i/>
          <w:sz w:val="24"/>
          <w:szCs w:val="24"/>
        </w:rPr>
        <w:t>felvetett témában</w:t>
      </w:r>
      <w:r w:rsidR="003D1E16" w:rsidRPr="00410848">
        <w:rPr>
          <w:rFonts w:ascii="Times New Roman" w:hAnsi="Times New Roman" w:cs="Times New Roman"/>
          <w:b/>
          <w:i/>
          <w:sz w:val="24"/>
          <w:szCs w:val="24"/>
        </w:rPr>
        <w:t xml:space="preserve"> az</w:t>
      </w:r>
      <w:r w:rsidRPr="00410848">
        <w:rPr>
          <w:rFonts w:ascii="Times New Roman" w:hAnsi="Times New Roman" w:cs="Times New Roman"/>
          <w:b/>
          <w:i/>
          <w:sz w:val="24"/>
          <w:szCs w:val="24"/>
        </w:rPr>
        <w:t xml:space="preserve"> érdekelt felek között párbeszédet kezdeményezzen annak felmérése céljából, hogy </w:t>
      </w:r>
      <w:r w:rsidR="006D1FB3">
        <w:rPr>
          <w:rFonts w:ascii="Times New Roman" w:hAnsi="Times New Roman" w:cs="Times New Roman"/>
          <w:b/>
          <w:i/>
          <w:sz w:val="24"/>
          <w:szCs w:val="24"/>
        </w:rPr>
        <w:t xml:space="preserve">szükséges-e </w:t>
      </w:r>
      <w:r w:rsidR="003D1E16" w:rsidRPr="00410848">
        <w:rPr>
          <w:rFonts w:ascii="Times New Roman" w:hAnsi="Times New Roman" w:cs="Times New Roman"/>
          <w:b/>
          <w:i/>
          <w:sz w:val="24"/>
          <w:szCs w:val="24"/>
        </w:rPr>
        <w:t xml:space="preserve">a Bolar kivétel jelenlegi szabályozásának </w:t>
      </w:r>
      <w:r w:rsidRPr="00410848">
        <w:rPr>
          <w:rFonts w:ascii="Times New Roman" w:hAnsi="Times New Roman" w:cs="Times New Roman"/>
          <w:b/>
          <w:i/>
          <w:sz w:val="24"/>
          <w:szCs w:val="24"/>
        </w:rPr>
        <w:t xml:space="preserve">felülvizsgálata, és amennyiben ezt támogató álláspont azonosítható, a felülvizsgálat milyen iránya lenne elképzelhető. A vitaanyag végén </w:t>
      </w:r>
      <w:r w:rsidR="006D1FB3">
        <w:rPr>
          <w:rFonts w:ascii="Times New Roman" w:hAnsi="Times New Roman" w:cs="Times New Roman"/>
          <w:b/>
          <w:i/>
          <w:sz w:val="24"/>
          <w:szCs w:val="24"/>
        </w:rPr>
        <w:t>megfogalmazott</w:t>
      </w:r>
      <w:r w:rsidR="006D1FB3" w:rsidRPr="00410848">
        <w:rPr>
          <w:rFonts w:ascii="Times New Roman" w:hAnsi="Times New Roman" w:cs="Times New Roman"/>
          <w:b/>
          <w:i/>
          <w:sz w:val="24"/>
          <w:szCs w:val="24"/>
        </w:rPr>
        <w:t xml:space="preserve"> </w:t>
      </w:r>
      <w:r w:rsidRPr="00410848">
        <w:rPr>
          <w:rFonts w:ascii="Times New Roman" w:hAnsi="Times New Roman" w:cs="Times New Roman"/>
          <w:b/>
          <w:i/>
          <w:sz w:val="24"/>
          <w:szCs w:val="24"/>
        </w:rPr>
        <w:t>normaszöveg javaslat a közös gondolkodás elősegítését szolgálja, az nem tekinthető</w:t>
      </w:r>
      <w:r w:rsidR="006D1FB3">
        <w:rPr>
          <w:rFonts w:ascii="Times New Roman" w:hAnsi="Times New Roman" w:cs="Times New Roman"/>
          <w:b/>
          <w:i/>
          <w:sz w:val="24"/>
          <w:szCs w:val="24"/>
        </w:rPr>
        <w:t xml:space="preserve"> a</w:t>
      </w:r>
      <w:r w:rsidRPr="00410848">
        <w:rPr>
          <w:rFonts w:ascii="Times New Roman" w:hAnsi="Times New Roman" w:cs="Times New Roman"/>
          <w:b/>
          <w:i/>
          <w:sz w:val="24"/>
          <w:szCs w:val="24"/>
        </w:rPr>
        <w:t xml:space="preserve"> tárca</w:t>
      </w:r>
      <w:r w:rsidR="006D1FB3">
        <w:rPr>
          <w:rFonts w:ascii="Times New Roman" w:hAnsi="Times New Roman" w:cs="Times New Roman"/>
          <w:b/>
          <w:i/>
          <w:sz w:val="24"/>
          <w:szCs w:val="24"/>
        </w:rPr>
        <w:t xml:space="preserve"> </w:t>
      </w:r>
      <w:r w:rsidRPr="00410848">
        <w:rPr>
          <w:rFonts w:ascii="Times New Roman" w:hAnsi="Times New Roman" w:cs="Times New Roman"/>
          <w:b/>
          <w:i/>
          <w:sz w:val="24"/>
          <w:szCs w:val="24"/>
        </w:rPr>
        <w:t>álláspont</w:t>
      </w:r>
      <w:r w:rsidR="006D1FB3">
        <w:rPr>
          <w:rFonts w:ascii="Times New Roman" w:hAnsi="Times New Roman" w:cs="Times New Roman"/>
          <w:b/>
          <w:i/>
          <w:sz w:val="24"/>
          <w:szCs w:val="24"/>
        </w:rPr>
        <w:t>já</w:t>
      </w:r>
      <w:r w:rsidRPr="00410848">
        <w:rPr>
          <w:rFonts w:ascii="Times New Roman" w:hAnsi="Times New Roman" w:cs="Times New Roman"/>
          <w:b/>
          <w:i/>
          <w:sz w:val="24"/>
          <w:szCs w:val="24"/>
        </w:rPr>
        <w:t>nak.</w:t>
      </w:r>
    </w:p>
    <w:p w14:paraId="1D6B0AD1" w14:textId="77777777" w:rsidR="00646EAC" w:rsidRPr="00362DE2" w:rsidRDefault="00646EAC" w:rsidP="00FE3DFF">
      <w:pPr>
        <w:spacing w:after="0"/>
        <w:jc w:val="both"/>
        <w:rPr>
          <w:rFonts w:ascii="Times New Roman" w:hAnsi="Times New Roman" w:cs="Times New Roman"/>
          <w:sz w:val="24"/>
          <w:szCs w:val="24"/>
        </w:rPr>
      </w:pPr>
    </w:p>
    <w:p w14:paraId="4186A768" w14:textId="77777777" w:rsidR="001C68E1" w:rsidRPr="003C6977" w:rsidRDefault="00194ECF" w:rsidP="00FE3DFF">
      <w:pPr>
        <w:pStyle w:val="Listaszerbekezds"/>
        <w:numPr>
          <w:ilvl w:val="0"/>
          <w:numId w:val="4"/>
        </w:numPr>
        <w:spacing w:after="0"/>
        <w:jc w:val="both"/>
        <w:rPr>
          <w:rFonts w:ascii="Times New Roman félkövér" w:hAnsi="Times New Roman félkövér" w:cs="Times New Roman"/>
          <w:b/>
          <w:smallCaps/>
          <w:sz w:val="24"/>
          <w:szCs w:val="24"/>
        </w:rPr>
      </w:pPr>
      <w:r w:rsidRPr="003C6977">
        <w:rPr>
          <w:rFonts w:ascii="Times New Roman félkövér" w:hAnsi="Times New Roman félkövér" w:cs="Times New Roman"/>
          <w:b/>
          <w:smallCaps/>
          <w:sz w:val="24"/>
          <w:szCs w:val="24"/>
        </w:rPr>
        <w:t xml:space="preserve">A Bolar kivétel </w:t>
      </w:r>
      <w:r w:rsidR="00A57DDD">
        <w:rPr>
          <w:rFonts w:ascii="Times New Roman félkövér" w:hAnsi="Times New Roman félkövér" w:cs="Times New Roman"/>
          <w:b/>
          <w:smallCaps/>
          <w:sz w:val="24"/>
          <w:szCs w:val="24"/>
        </w:rPr>
        <w:t>célja, eredete</w:t>
      </w:r>
    </w:p>
    <w:p w14:paraId="65D10C28" w14:textId="77777777" w:rsidR="00241345" w:rsidRPr="00265EA9" w:rsidRDefault="00241345" w:rsidP="00FE3DFF">
      <w:pPr>
        <w:spacing w:after="0"/>
        <w:jc w:val="both"/>
        <w:rPr>
          <w:rFonts w:ascii="Times New Roman" w:hAnsi="Times New Roman" w:cs="Times New Roman"/>
          <w:b/>
          <w:sz w:val="24"/>
          <w:szCs w:val="24"/>
        </w:rPr>
      </w:pPr>
    </w:p>
    <w:p w14:paraId="1FCC5065" w14:textId="1E6B939B" w:rsidR="00877521" w:rsidRPr="00265EA9" w:rsidRDefault="00877521" w:rsidP="00FE3DFF">
      <w:pPr>
        <w:spacing w:after="0"/>
        <w:jc w:val="both"/>
        <w:rPr>
          <w:rFonts w:ascii="Times New Roman" w:hAnsi="Times New Roman" w:cs="Times New Roman"/>
          <w:sz w:val="24"/>
          <w:szCs w:val="24"/>
        </w:rPr>
      </w:pPr>
      <w:r w:rsidRPr="00265EA9">
        <w:rPr>
          <w:rFonts w:ascii="Times New Roman" w:hAnsi="Times New Roman" w:cs="Times New Roman"/>
          <w:sz w:val="24"/>
          <w:szCs w:val="24"/>
        </w:rPr>
        <w:t>A szabadalmi oltalom kizárólagos jogot biztosít a jogosultnak</w:t>
      </w:r>
      <w:r w:rsidR="00755716" w:rsidRPr="00265EA9">
        <w:rPr>
          <w:rFonts w:ascii="Times New Roman" w:hAnsi="Times New Roman" w:cs="Times New Roman"/>
          <w:sz w:val="24"/>
          <w:szCs w:val="24"/>
        </w:rPr>
        <w:t xml:space="preserve"> arra</w:t>
      </w:r>
      <w:r w:rsidRPr="00265EA9">
        <w:rPr>
          <w:rFonts w:ascii="Times New Roman" w:hAnsi="Times New Roman" w:cs="Times New Roman"/>
          <w:sz w:val="24"/>
          <w:szCs w:val="24"/>
        </w:rPr>
        <w:t>, hogy a szabadalom fennállásának ideje alatt a szabadalmi oltalom tárgyát hasznosítsa</w:t>
      </w:r>
      <w:r w:rsidR="000C7F47">
        <w:rPr>
          <w:rFonts w:ascii="Times New Roman" w:hAnsi="Times New Roman" w:cs="Times New Roman"/>
          <w:sz w:val="24"/>
          <w:szCs w:val="24"/>
        </w:rPr>
        <w:t>,</w:t>
      </w:r>
      <w:r w:rsidR="005F262E">
        <w:rPr>
          <w:rStyle w:val="Lbjegyzet-hivatkozs"/>
          <w:rFonts w:ascii="Times New Roman" w:hAnsi="Times New Roman" w:cs="Times New Roman"/>
          <w:sz w:val="24"/>
          <w:szCs w:val="24"/>
        </w:rPr>
        <w:footnoteReference w:id="1"/>
      </w:r>
      <w:r w:rsidRPr="00265EA9">
        <w:rPr>
          <w:rFonts w:ascii="Times New Roman" w:hAnsi="Times New Roman" w:cs="Times New Roman"/>
          <w:sz w:val="24"/>
          <w:szCs w:val="24"/>
        </w:rPr>
        <w:t xml:space="preserve"> annak hasznosítására másoknak engedélyt adjon, illetve fellépjen az esetleges jogsértése</w:t>
      </w:r>
      <w:r w:rsidR="00A86D22" w:rsidRPr="00265EA9">
        <w:rPr>
          <w:rFonts w:ascii="Times New Roman" w:hAnsi="Times New Roman" w:cs="Times New Roman"/>
          <w:sz w:val="24"/>
          <w:szCs w:val="24"/>
        </w:rPr>
        <w:t>kkel szemben</w:t>
      </w:r>
      <w:r w:rsidRPr="00265EA9">
        <w:rPr>
          <w:rFonts w:ascii="Times New Roman" w:hAnsi="Times New Roman" w:cs="Times New Roman"/>
          <w:sz w:val="24"/>
          <w:szCs w:val="24"/>
        </w:rPr>
        <w:t>.</w:t>
      </w:r>
    </w:p>
    <w:p w14:paraId="3B20BD8B" w14:textId="200A5649" w:rsidR="000C7F47" w:rsidRDefault="00DD05AD" w:rsidP="00FE3DF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Ugyanakkor egyes iparágakban, elsősorban a gyógyszeripar területén indokolttá vált </w:t>
      </w:r>
      <w:r w:rsidR="000C7F47">
        <w:rPr>
          <w:rFonts w:ascii="Times New Roman" w:hAnsi="Times New Roman" w:cs="Times New Roman"/>
          <w:sz w:val="24"/>
          <w:szCs w:val="24"/>
        </w:rPr>
        <w:t>ezen</w:t>
      </w:r>
      <w:r>
        <w:rPr>
          <w:rFonts w:ascii="Times New Roman" w:hAnsi="Times New Roman" w:cs="Times New Roman"/>
          <w:sz w:val="24"/>
          <w:szCs w:val="24"/>
        </w:rPr>
        <w:t xml:space="preserve"> kizárólagos jog alóli</w:t>
      </w:r>
      <w:r w:rsidR="000C7F47">
        <w:rPr>
          <w:rFonts w:ascii="Times New Roman" w:hAnsi="Times New Roman" w:cs="Times New Roman"/>
          <w:sz w:val="24"/>
          <w:szCs w:val="24"/>
        </w:rPr>
        <w:t>,</w:t>
      </w:r>
      <w:r>
        <w:rPr>
          <w:rFonts w:ascii="Times New Roman" w:hAnsi="Times New Roman" w:cs="Times New Roman"/>
          <w:sz w:val="24"/>
          <w:szCs w:val="24"/>
        </w:rPr>
        <w:t xml:space="preserve"> </w:t>
      </w:r>
      <w:r w:rsidR="000C7F47">
        <w:rPr>
          <w:rFonts w:ascii="Times New Roman" w:hAnsi="Times New Roman" w:cs="Times New Roman"/>
          <w:sz w:val="24"/>
          <w:szCs w:val="24"/>
        </w:rPr>
        <w:t>szűk körű</w:t>
      </w:r>
      <w:r>
        <w:rPr>
          <w:rFonts w:ascii="Times New Roman" w:hAnsi="Times New Roman" w:cs="Times New Roman"/>
          <w:sz w:val="24"/>
          <w:szCs w:val="24"/>
        </w:rPr>
        <w:t xml:space="preserve"> kivétel biztosítása.</w:t>
      </w:r>
      <w:r w:rsidR="00C60D41">
        <w:rPr>
          <w:rFonts w:ascii="Times New Roman" w:hAnsi="Times New Roman" w:cs="Times New Roman"/>
          <w:sz w:val="24"/>
          <w:szCs w:val="24"/>
        </w:rPr>
        <w:t xml:space="preserve"> Ennek oka az, hogy a generikus gyógyszergyártó cégek csak abban az esetben tudnak ténylegesen piacra lépni</w:t>
      </w:r>
      <w:r w:rsidR="00C60D41" w:rsidRPr="00C60D41">
        <w:rPr>
          <w:rFonts w:ascii="Times New Roman" w:hAnsi="Times New Roman" w:cs="Times New Roman"/>
          <w:sz w:val="24"/>
          <w:szCs w:val="24"/>
        </w:rPr>
        <w:t xml:space="preserve"> a szabadalmi oltalom lejártát követő napon (ún. </w:t>
      </w:r>
      <w:r w:rsidR="00C60D41" w:rsidRPr="00C60D41">
        <w:rPr>
          <w:rFonts w:ascii="Times New Roman" w:hAnsi="Times New Roman" w:cs="Times New Roman"/>
          <w:i/>
          <w:sz w:val="24"/>
          <w:szCs w:val="24"/>
        </w:rPr>
        <w:t>day-1 piacra lépés</w:t>
      </w:r>
      <w:r w:rsidR="00C60D41" w:rsidRPr="00C60D41">
        <w:rPr>
          <w:rFonts w:ascii="Times New Roman" w:hAnsi="Times New Roman" w:cs="Times New Roman"/>
          <w:sz w:val="24"/>
          <w:szCs w:val="24"/>
        </w:rPr>
        <w:t>)</w:t>
      </w:r>
      <w:r w:rsidR="000C7F47">
        <w:rPr>
          <w:rFonts w:ascii="Times New Roman" w:hAnsi="Times New Roman" w:cs="Times New Roman"/>
          <w:sz w:val="24"/>
          <w:szCs w:val="24"/>
        </w:rPr>
        <w:t>,</w:t>
      </w:r>
      <w:r w:rsidR="00C60D41" w:rsidRPr="00C60D41">
        <w:rPr>
          <w:rFonts w:ascii="Times New Roman" w:hAnsi="Times New Roman" w:cs="Times New Roman"/>
          <w:sz w:val="24"/>
          <w:szCs w:val="24"/>
          <w:vertAlign w:val="superscript"/>
        </w:rPr>
        <w:footnoteReference w:id="2"/>
      </w:r>
      <w:r w:rsidR="00C60D41">
        <w:rPr>
          <w:rFonts w:ascii="Times New Roman" w:hAnsi="Times New Roman" w:cs="Times New Roman"/>
          <w:sz w:val="24"/>
          <w:szCs w:val="24"/>
        </w:rPr>
        <w:t xml:space="preserve"> ha </w:t>
      </w:r>
      <w:r w:rsidR="0000103D">
        <w:rPr>
          <w:rFonts w:ascii="Times New Roman" w:hAnsi="Times New Roman" w:cs="Times New Roman"/>
          <w:sz w:val="24"/>
          <w:szCs w:val="24"/>
        </w:rPr>
        <w:t>már a</w:t>
      </w:r>
      <w:r w:rsidR="00C60D41">
        <w:rPr>
          <w:rFonts w:ascii="Times New Roman" w:hAnsi="Times New Roman" w:cs="Times New Roman"/>
          <w:sz w:val="24"/>
          <w:szCs w:val="24"/>
        </w:rPr>
        <w:t xml:space="preserve"> szabadalmi oltalom fennállása alatt </w:t>
      </w:r>
      <w:r w:rsidR="000C7F47">
        <w:rPr>
          <w:rFonts w:ascii="Times New Roman" w:hAnsi="Times New Roman" w:cs="Times New Roman"/>
          <w:sz w:val="24"/>
          <w:szCs w:val="24"/>
        </w:rPr>
        <w:t>el tudták végezni</w:t>
      </w:r>
      <w:r w:rsidR="000C7F47" w:rsidRPr="00C60D41">
        <w:rPr>
          <w:rFonts w:ascii="Times New Roman" w:hAnsi="Times New Roman" w:cs="Times New Roman"/>
          <w:sz w:val="24"/>
          <w:szCs w:val="24"/>
        </w:rPr>
        <w:t xml:space="preserve"> </w:t>
      </w:r>
      <w:r w:rsidR="00E13763">
        <w:rPr>
          <w:rFonts w:ascii="Times New Roman" w:hAnsi="Times New Roman" w:cs="Times New Roman"/>
          <w:sz w:val="24"/>
          <w:szCs w:val="24"/>
        </w:rPr>
        <w:t xml:space="preserve">a </w:t>
      </w:r>
      <w:r w:rsidR="00C60D41" w:rsidRPr="00C60D41">
        <w:rPr>
          <w:rFonts w:ascii="Times New Roman" w:hAnsi="Times New Roman" w:cs="Times New Roman"/>
          <w:sz w:val="24"/>
          <w:szCs w:val="24"/>
        </w:rPr>
        <w:t>törzskönyvezéshez/forgalomba hozatali engedélyhez szükséges kísérletek</w:t>
      </w:r>
      <w:r w:rsidR="0000103D">
        <w:rPr>
          <w:rFonts w:ascii="Times New Roman" w:hAnsi="Times New Roman" w:cs="Times New Roman"/>
          <w:sz w:val="24"/>
          <w:szCs w:val="24"/>
        </w:rPr>
        <w:t>et</w:t>
      </w:r>
      <w:r w:rsidR="00C60D41" w:rsidRPr="00C60D41">
        <w:rPr>
          <w:rFonts w:ascii="Times New Roman" w:hAnsi="Times New Roman" w:cs="Times New Roman"/>
          <w:sz w:val="24"/>
          <w:szCs w:val="24"/>
        </w:rPr>
        <w:t>, vizsgálatok</w:t>
      </w:r>
      <w:r w:rsidR="0000103D">
        <w:rPr>
          <w:rFonts w:ascii="Times New Roman" w:hAnsi="Times New Roman" w:cs="Times New Roman"/>
          <w:sz w:val="24"/>
          <w:szCs w:val="24"/>
        </w:rPr>
        <w:t xml:space="preserve">at, amelyek </w:t>
      </w:r>
      <w:r w:rsidR="0000103D" w:rsidRPr="0000103D">
        <w:rPr>
          <w:rFonts w:ascii="Times New Roman" w:hAnsi="Times New Roman" w:cs="Times New Roman"/>
          <w:sz w:val="24"/>
          <w:szCs w:val="24"/>
        </w:rPr>
        <w:t>jellemzően hosszabb időt vesznek igénybe</w:t>
      </w:r>
      <w:r w:rsidR="0000103D">
        <w:rPr>
          <w:rFonts w:ascii="Times New Roman" w:hAnsi="Times New Roman" w:cs="Times New Roman"/>
          <w:sz w:val="24"/>
          <w:szCs w:val="24"/>
        </w:rPr>
        <w:t xml:space="preserve">. Ennek hiányában a generikus gyógyszergyártó cégeket versenyhátrány érné, hiszen a jogszabály által lehetővé tett időpontnál csak lényegesen később tudnának piacra lépni. </w:t>
      </w:r>
    </w:p>
    <w:p w14:paraId="7C3501D0" w14:textId="29463C84" w:rsidR="00241345" w:rsidRPr="00265EA9" w:rsidRDefault="000C7F47" w:rsidP="00FE3DFF">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Ezen megfontolásból </w:t>
      </w:r>
      <w:r w:rsidR="00E64182">
        <w:rPr>
          <w:rFonts w:ascii="Times New Roman" w:hAnsi="Times New Roman" w:cs="Times New Roman"/>
          <w:sz w:val="24"/>
          <w:szCs w:val="24"/>
        </w:rPr>
        <w:t xml:space="preserve">került bevezetésre </w:t>
      </w:r>
      <w:r>
        <w:rPr>
          <w:rFonts w:ascii="Times New Roman" w:hAnsi="Times New Roman" w:cs="Times New Roman"/>
          <w:sz w:val="24"/>
          <w:szCs w:val="24"/>
        </w:rPr>
        <w:t xml:space="preserve">a </w:t>
      </w:r>
      <w:r w:rsidR="00E64182">
        <w:rPr>
          <w:rFonts w:ascii="Times New Roman" w:hAnsi="Times New Roman" w:cs="Times New Roman"/>
          <w:sz w:val="24"/>
          <w:szCs w:val="24"/>
        </w:rPr>
        <w:t>szabadalmi</w:t>
      </w:r>
      <w:r w:rsidR="0000103D">
        <w:rPr>
          <w:rFonts w:ascii="Times New Roman" w:hAnsi="Times New Roman" w:cs="Times New Roman"/>
          <w:sz w:val="24"/>
          <w:szCs w:val="24"/>
        </w:rPr>
        <w:t xml:space="preserve"> jog területén</w:t>
      </w:r>
      <w:r w:rsidR="00E64182">
        <w:rPr>
          <w:rFonts w:ascii="Times New Roman" w:hAnsi="Times New Roman" w:cs="Times New Roman"/>
          <w:sz w:val="24"/>
          <w:szCs w:val="24"/>
        </w:rPr>
        <w:t xml:space="preserve"> az </w:t>
      </w:r>
      <w:r w:rsidR="00E64182" w:rsidRPr="00410848">
        <w:rPr>
          <w:rFonts w:ascii="Times New Roman" w:hAnsi="Times New Roman" w:cs="Times New Roman"/>
          <w:b/>
          <w:sz w:val="24"/>
          <w:szCs w:val="24"/>
        </w:rPr>
        <w:t>ún. Bolar kivétel</w:t>
      </w:r>
      <w:r w:rsidR="0000103D" w:rsidRPr="00410848">
        <w:rPr>
          <w:rFonts w:ascii="Times New Roman" w:hAnsi="Times New Roman" w:cs="Times New Roman"/>
          <w:b/>
          <w:sz w:val="24"/>
          <w:szCs w:val="24"/>
        </w:rPr>
        <w:t xml:space="preserve">, </w:t>
      </w:r>
      <w:r w:rsidR="0000103D" w:rsidRPr="00466471">
        <w:rPr>
          <w:rFonts w:ascii="Times New Roman" w:hAnsi="Times New Roman" w:cs="Times New Roman"/>
          <w:bCs/>
          <w:sz w:val="24"/>
          <w:szCs w:val="24"/>
        </w:rPr>
        <w:t>amely</w:t>
      </w:r>
      <w:r w:rsidR="0000103D" w:rsidRPr="00410848">
        <w:rPr>
          <w:rFonts w:ascii="Times New Roman" w:hAnsi="Times New Roman" w:cs="Times New Roman"/>
          <w:b/>
          <w:sz w:val="24"/>
          <w:szCs w:val="24"/>
        </w:rPr>
        <w:t xml:space="preserve"> lehetővé teszi, hogy a szabadalmi oltalom ideje alatt</w:t>
      </w:r>
      <w:r w:rsidR="00E64182" w:rsidRPr="00410848">
        <w:rPr>
          <w:rFonts w:ascii="Times New Roman" w:hAnsi="Times New Roman" w:cs="Times New Roman"/>
          <w:b/>
          <w:sz w:val="24"/>
          <w:szCs w:val="24"/>
        </w:rPr>
        <w:t xml:space="preserve"> a jogosult </w:t>
      </w:r>
      <w:r w:rsidR="00E64182" w:rsidRPr="00A35BDD">
        <w:rPr>
          <w:rFonts w:ascii="Times New Roman" w:hAnsi="Times New Roman" w:cs="Times New Roman"/>
          <w:b/>
          <w:sz w:val="24"/>
          <w:szCs w:val="24"/>
        </w:rPr>
        <w:t xml:space="preserve">versenytársai az </w:t>
      </w:r>
      <w:r w:rsidR="00E64182" w:rsidRPr="00A35BDD">
        <w:rPr>
          <w:rFonts w:ascii="Times New Roman" w:hAnsi="Times New Roman" w:cs="Times New Roman"/>
          <w:b/>
          <w:sz w:val="24"/>
          <w:szCs w:val="24"/>
        </w:rPr>
        <w:lastRenderedPageBreak/>
        <w:t>oltalom alatt álló terméket az engedélyezéshez szükséges kísérletek elvégzése céljából</w:t>
      </w:r>
      <w:r w:rsidR="00F90A94">
        <w:rPr>
          <w:rFonts w:ascii="Times New Roman" w:hAnsi="Times New Roman" w:cs="Times New Roman"/>
          <w:b/>
          <w:sz w:val="24"/>
          <w:szCs w:val="24"/>
        </w:rPr>
        <w:t xml:space="preserve"> </w:t>
      </w:r>
      <w:r w:rsidR="00A35BDD">
        <w:rPr>
          <w:rFonts w:ascii="Times New Roman" w:hAnsi="Times New Roman" w:cs="Times New Roman"/>
          <w:b/>
          <w:sz w:val="24"/>
          <w:szCs w:val="24"/>
        </w:rPr>
        <w:t>hasznosítsák.</w:t>
      </w:r>
    </w:p>
    <w:p w14:paraId="7D17707F" w14:textId="1E4370D3" w:rsidR="009D5E75" w:rsidRDefault="009D5E75" w:rsidP="00FE3DFF">
      <w:pPr>
        <w:spacing w:after="0"/>
        <w:jc w:val="both"/>
        <w:rPr>
          <w:rFonts w:ascii="Times New Roman" w:hAnsi="Times New Roman" w:cs="Times New Roman"/>
          <w:b/>
          <w:bCs/>
          <w:sz w:val="24"/>
          <w:szCs w:val="24"/>
        </w:rPr>
      </w:pPr>
      <w:r>
        <w:rPr>
          <w:rFonts w:ascii="Times New Roman" w:hAnsi="Times New Roman" w:cs="Times New Roman"/>
          <w:sz w:val="24"/>
          <w:szCs w:val="24"/>
        </w:rPr>
        <w:tab/>
      </w:r>
      <w:r w:rsidR="00E64182">
        <w:rPr>
          <w:rFonts w:ascii="Times New Roman" w:hAnsi="Times New Roman" w:cs="Times New Roman"/>
          <w:sz w:val="24"/>
          <w:szCs w:val="24"/>
        </w:rPr>
        <w:t>A Bolar kivétel szükségessége történetileg először a</w:t>
      </w:r>
      <w:r w:rsidR="00001119" w:rsidRPr="00265EA9">
        <w:rPr>
          <w:rFonts w:ascii="Times New Roman" w:hAnsi="Times New Roman" w:cs="Times New Roman"/>
          <w:sz w:val="24"/>
          <w:szCs w:val="24"/>
        </w:rPr>
        <w:t xml:space="preserve">z ún. </w:t>
      </w:r>
      <w:r w:rsidR="00001119" w:rsidRPr="004E4A85">
        <w:rPr>
          <w:rFonts w:ascii="Times New Roman" w:hAnsi="Times New Roman" w:cs="Times New Roman"/>
          <w:i/>
          <w:sz w:val="24"/>
          <w:szCs w:val="24"/>
        </w:rPr>
        <w:t>Bolar ügyben</w:t>
      </w:r>
      <w:r w:rsidR="00001119" w:rsidRPr="00265EA9">
        <w:rPr>
          <w:rFonts w:ascii="Times New Roman" w:hAnsi="Times New Roman" w:cs="Times New Roman"/>
          <w:sz w:val="24"/>
          <w:szCs w:val="24"/>
          <w:vertAlign w:val="superscript"/>
        </w:rPr>
        <w:footnoteReference w:id="3"/>
      </w:r>
      <w:r w:rsidR="000C7F47">
        <w:rPr>
          <w:rFonts w:ascii="Times New Roman" w:hAnsi="Times New Roman" w:cs="Times New Roman"/>
          <w:i/>
          <w:sz w:val="24"/>
          <w:szCs w:val="24"/>
        </w:rPr>
        <w:t xml:space="preserve"> </w:t>
      </w:r>
      <w:r w:rsidR="00E64182" w:rsidRPr="00A35BDD">
        <w:rPr>
          <w:rFonts w:ascii="Times New Roman" w:hAnsi="Times New Roman" w:cs="Times New Roman"/>
          <w:sz w:val="24"/>
          <w:szCs w:val="24"/>
        </w:rPr>
        <w:t>merült fel</w:t>
      </w:r>
      <w:r w:rsidR="00DE36FE" w:rsidRPr="00A35BDD">
        <w:rPr>
          <w:rFonts w:ascii="Times New Roman" w:hAnsi="Times New Roman" w:cs="Times New Roman"/>
          <w:sz w:val="24"/>
          <w:szCs w:val="24"/>
        </w:rPr>
        <w:t>,</w:t>
      </w:r>
      <w:r w:rsidR="00DE36FE">
        <w:rPr>
          <w:rFonts w:ascii="Times New Roman" w:hAnsi="Times New Roman" w:cs="Times New Roman"/>
          <w:i/>
          <w:sz w:val="24"/>
          <w:szCs w:val="24"/>
        </w:rPr>
        <w:t xml:space="preserve"> </w:t>
      </w:r>
      <w:r w:rsidR="00DE36FE" w:rsidRPr="00A35BDD">
        <w:rPr>
          <w:rFonts w:ascii="Times New Roman" w:hAnsi="Times New Roman" w:cs="Times New Roman"/>
          <w:sz w:val="24"/>
          <w:szCs w:val="24"/>
        </w:rPr>
        <w:t>amelyben</w:t>
      </w:r>
      <w:r w:rsidR="00001119" w:rsidRPr="000C7F47">
        <w:rPr>
          <w:rFonts w:ascii="Times New Roman" w:hAnsi="Times New Roman" w:cs="Times New Roman"/>
          <w:sz w:val="24"/>
          <w:szCs w:val="24"/>
        </w:rPr>
        <w:t xml:space="preserve"> </w:t>
      </w:r>
      <w:r w:rsidR="00265EA9" w:rsidRPr="00130D6B">
        <w:rPr>
          <w:rFonts w:ascii="Times New Roman" w:hAnsi="Times New Roman" w:cs="Times New Roman"/>
          <w:sz w:val="24"/>
          <w:szCs w:val="24"/>
        </w:rPr>
        <w:t>a Roche Products szabadalmaztatott termékének</w:t>
      </w:r>
      <w:r w:rsidR="00265EA9" w:rsidRPr="00265EA9">
        <w:rPr>
          <w:rFonts w:ascii="Times New Roman" w:hAnsi="Times New Roman" w:cs="Times New Roman"/>
          <w:sz w:val="24"/>
          <w:szCs w:val="24"/>
        </w:rPr>
        <w:t xml:space="preserve"> a Bolar Pharmaceutical</w:t>
      </w:r>
      <w:r w:rsidR="00265EA9">
        <w:rPr>
          <w:rFonts w:ascii="Times New Roman" w:hAnsi="Times New Roman" w:cs="Times New Roman"/>
          <w:sz w:val="24"/>
          <w:szCs w:val="24"/>
        </w:rPr>
        <w:t xml:space="preserve"> általi,</w:t>
      </w:r>
      <w:r w:rsidR="002F2D04" w:rsidRPr="00265EA9">
        <w:rPr>
          <w:rFonts w:ascii="Times New Roman" w:hAnsi="Times New Roman" w:cs="Times New Roman"/>
          <w:sz w:val="24"/>
          <w:szCs w:val="24"/>
        </w:rPr>
        <w:t xml:space="preserve"> fenti célból megvalósított hasznosítását az eljáró bíróság jogsértőnek nyilvánította.</w:t>
      </w:r>
      <w:r w:rsidR="00CB60BB">
        <w:rPr>
          <w:rStyle w:val="Lbjegyzet-hivatkozs"/>
          <w:rFonts w:ascii="Times New Roman" w:hAnsi="Times New Roman" w:cs="Times New Roman"/>
          <w:sz w:val="24"/>
          <w:szCs w:val="24"/>
        </w:rPr>
        <w:footnoteReference w:id="4"/>
      </w:r>
      <w:r w:rsidR="00F12D88" w:rsidDel="00F12D88">
        <w:rPr>
          <w:rStyle w:val="Lbjegyzet-hivatkozs"/>
          <w:rFonts w:ascii="Times New Roman" w:hAnsi="Times New Roman" w:cs="Times New Roman"/>
          <w:sz w:val="24"/>
          <w:szCs w:val="24"/>
        </w:rPr>
        <w:t xml:space="preserve"> </w:t>
      </w:r>
      <w:r w:rsidR="00DE36FE" w:rsidRPr="00DE36FE">
        <w:rPr>
          <w:rFonts w:ascii="Times New Roman" w:hAnsi="Times New Roman" w:cs="Times New Roman"/>
          <w:sz w:val="24"/>
          <w:szCs w:val="24"/>
        </w:rPr>
        <w:t>Az esetre válaszul az Egyesült Államokban elfogadásra került a Waxmann-Hatch törvény</w:t>
      </w:r>
      <w:r w:rsidR="001A1665">
        <w:rPr>
          <w:rFonts w:ascii="Times New Roman" w:hAnsi="Times New Roman" w:cs="Times New Roman"/>
          <w:sz w:val="24"/>
          <w:szCs w:val="24"/>
        </w:rPr>
        <w:t>,</w:t>
      </w:r>
      <w:r w:rsidR="00F12D88">
        <w:rPr>
          <w:rStyle w:val="Lbjegyzet-hivatkozs"/>
          <w:rFonts w:ascii="Times New Roman" w:hAnsi="Times New Roman" w:cs="Times New Roman"/>
          <w:sz w:val="24"/>
          <w:szCs w:val="24"/>
        </w:rPr>
        <w:footnoteReference w:id="5"/>
      </w:r>
      <w:r w:rsidR="00DE36FE" w:rsidRPr="00DE36FE">
        <w:rPr>
          <w:rFonts w:ascii="Times New Roman" w:hAnsi="Times New Roman" w:cs="Times New Roman"/>
          <w:sz w:val="24"/>
          <w:szCs w:val="24"/>
        </w:rPr>
        <w:t xml:space="preserve"> valamint a „Bolar mentesítés”. A Waxmann-Hatch törvény lényege, hogy a generikus gyártók mentesülnek az olyan vizsgálatok elvégzése alól, amelyeket már az eredeti készítményen végrehajtottak, így az egyenértékűség alapján megengedett a törzskönyvezés.</w:t>
      </w:r>
      <w:r w:rsidR="00F12D88">
        <w:rPr>
          <w:rStyle w:val="Lbjegyzet-hivatkozs"/>
          <w:rFonts w:ascii="Times New Roman" w:hAnsi="Times New Roman" w:cs="Times New Roman"/>
          <w:sz w:val="24"/>
          <w:szCs w:val="24"/>
        </w:rPr>
        <w:footnoteReference w:id="6"/>
      </w:r>
      <w:r w:rsidR="00DE36FE" w:rsidRPr="00DE36FE">
        <w:rPr>
          <w:rFonts w:ascii="Times New Roman" w:hAnsi="Times New Roman" w:cs="Times New Roman"/>
          <w:sz w:val="24"/>
          <w:szCs w:val="24"/>
        </w:rPr>
        <w:t xml:space="preserve"> A „Bolar mentesítés”</w:t>
      </w:r>
      <w:r w:rsidR="00DE36FE" w:rsidRPr="00DE36FE">
        <w:rPr>
          <w:rFonts w:ascii="Times New Roman" w:hAnsi="Times New Roman" w:cs="Times New Roman"/>
          <w:sz w:val="24"/>
          <w:szCs w:val="24"/>
          <w:vertAlign w:val="superscript"/>
        </w:rPr>
        <w:footnoteReference w:id="7"/>
      </w:r>
      <w:r w:rsidR="00DE36FE" w:rsidRPr="00DE36FE">
        <w:rPr>
          <w:rFonts w:ascii="Times New Roman" w:hAnsi="Times New Roman" w:cs="Times New Roman"/>
          <w:sz w:val="24"/>
          <w:szCs w:val="24"/>
        </w:rPr>
        <w:t xml:space="preserve"> </w:t>
      </w:r>
      <w:r w:rsidR="00A35BDD">
        <w:rPr>
          <w:rFonts w:ascii="Times New Roman" w:hAnsi="Times New Roman" w:cs="Times New Roman"/>
          <w:sz w:val="24"/>
          <w:szCs w:val="24"/>
        </w:rPr>
        <w:t xml:space="preserve">alapján </w:t>
      </w:r>
      <w:r w:rsidR="00DE36FE" w:rsidRPr="00DE36FE">
        <w:rPr>
          <w:rFonts w:ascii="Times New Roman" w:hAnsi="Times New Roman" w:cs="Times New Roman"/>
          <w:sz w:val="24"/>
          <w:szCs w:val="24"/>
        </w:rPr>
        <w:t>már a szabadalmi oltalom alatt lehe</w:t>
      </w:r>
      <w:r w:rsidR="00A35BDD">
        <w:rPr>
          <w:rFonts w:ascii="Times New Roman" w:hAnsi="Times New Roman" w:cs="Times New Roman"/>
          <w:sz w:val="24"/>
          <w:szCs w:val="24"/>
        </w:rPr>
        <w:t>t</w:t>
      </w:r>
      <w:r w:rsidR="00DE36FE" w:rsidRPr="00DE36FE">
        <w:rPr>
          <w:rFonts w:ascii="Times New Roman" w:hAnsi="Times New Roman" w:cs="Times New Roman"/>
          <w:sz w:val="24"/>
          <w:szCs w:val="24"/>
        </w:rPr>
        <w:t xml:space="preserve"> vizsgálatokat végezni, am</w:t>
      </w:r>
      <w:r w:rsidR="00A35BDD">
        <w:rPr>
          <w:rFonts w:ascii="Times New Roman" w:hAnsi="Times New Roman" w:cs="Times New Roman"/>
          <w:sz w:val="24"/>
          <w:szCs w:val="24"/>
        </w:rPr>
        <w:t>elyek</w:t>
      </w:r>
      <w:r w:rsidR="00DE36FE" w:rsidRPr="00DE36FE">
        <w:rPr>
          <w:rFonts w:ascii="Times New Roman" w:hAnsi="Times New Roman" w:cs="Times New Roman"/>
          <w:sz w:val="24"/>
          <w:szCs w:val="24"/>
        </w:rPr>
        <w:t xml:space="preserve"> a piacra lépést teszik lehetővé. </w:t>
      </w:r>
    </w:p>
    <w:p w14:paraId="5DFD3D95" w14:textId="1085C9D4" w:rsidR="009D5E75" w:rsidRPr="00F12D88" w:rsidRDefault="009D5E75" w:rsidP="00FE3DFF">
      <w:pPr>
        <w:spacing w:after="0"/>
        <w:ind w:firstLine="360"/>
        <w:jc w:val="both"/>
        <w:rPr>
          <w:rFonts w:ascii="Times New Roman" w:hAnsi="Times New Roman" w:cs="Times New Roman"/>
          <w:sz w:val="24"/>
          <w:szCs w:val="24"/>
        </w:rPr>
      </w:pPr>
      <w:r>
        <w:rPr>
          <w:rFonts w:ascii="Times New Roman" w:hAnsi="Times New Roman" w:cs="Times New Roman"/>
          <w:b/>
          <w:bCs/>
          <w:sz w:val="24"/>
          <w:szCs w:val="24"/>
        </w:rPr>
        <w:tab/>
      </w:r>
      <w:r w:rsidR="00DE36FE" w:rsidRPr="00F12D88">
        <w:rPr>
          <w:rFonts w:ascii="Times New Roman" w:hAnsi="Times New Roman" w:cs="Times New Roman"/>
          <w:b/>
          <w:bCs/>
          <w:sz w:val="24"/>
          <w:szCs w:val="24"/>
        </w:rPr>
        <w:t>A „Bolar mentesítés” megalkotása azért volt mérföldkő a generikus gyógyszergyártók számára, mert a kivétel nem teszi szükségessé licencia szerződés megkötését, hasznosítási engedély beszerzését – további anyagi terheket róva számukra –</w:t>
      </w:r>
      <w:r>
        <w:rPr>
          <w:rFonts w:ascii="Times New Roman" w:hAnsi="Times New Roman" w:cs="Times New Roman"/>
          <w:b/>
          <w:bCs/>
          <w:sz w:val="24"/>
          <w:szCs w:val="24"/>
        </w:rPr>
        <w:t>,</w:t>
      </w:r>
      <w:r w:rsidR="00DE36FE" w:rsidRPr="00F12D88">
        <w:rPr>
          <w:rFonts w:ascii="Times New Roman" w:hAnsi="Times New Roman" w:cs="Times New Roman"/>
          <w:b/>
          <w:bCs/>
          <w:sz w:val="24"/>
          <w:szCs w:val="24"/>
        </w:rPr>
        <w:t xml:space="preserve"> ezáltal lehetővé válik a szabadalom lejáratának napján a piacra lépés</w:t>
      </w:r>
      <w:r w:rsidR="00DE36FE" w:rsidRPr="00F12D88">
        <w:rPr>
          <w:rFonts w:ascii="Times New Roman" w:hAnsi="Times New Roman" w:cs="Times New Roman"/>
          <w:sz w:val="24"/>
          <w:szCs w:val="24"/>
        </w:rPr>
        <w:t>. Ez követendő példa volt más országok számára is, így Magyarország</w:t>
      </w:r>
      <w:r>
        <w:rPr>
          <w:rStyle w:val="Lbjegyzet-hivatkozs"/>
          <w:rFonts w:ascii="Times New Roman" w:hAnsi="Times New Roman" w:cs="Times New Roman"/>
          <w:sz w:val="24"/>
          <w:szCs w:val="24"/>
        </w:rPr>
        <w:footnoteReference w:id="8"/>
      </w:r>
      <w:r w:rsidR="00DE36FE" w:rsidRPr="00F12D88">
        <w:rPr>
          <w:rFonts w:ascii="Times New Roman" w:hAnsi="Times New Roman" w:cs="Times New Roman"/>
          <w:sz w:val="24"/>
          <w:szCs w:val="24"/>
        </w:rPr>
        <w:t xml:space="preserve"> és más európai országok is az Egyesült Államokéhoz hasonló szabályozást fogadtak el, amely során a kísérleti célú felhasználás törvényi kivétellé vált.</w:t>
      </w:r>
    </w:p>
    <w:p w14:paraId="6C6E1696" w14:textId="77777777" w:rsidR="00241345" w:rsidRPr="00265EA9" w:rsidRDefault="00241345" w:rsidP="00FE3DFF">
      <w:pPr>
        <w:spacing w:after="0"/>
        <w:jc w:val="both"/>
        <w:rPr>
          <w:rFonts w:ascii="Times New Roman" w:hAnsi="Times New Roman" w:cs="Times New Roman"/>
          <w:sz w:val="24"/>
          <w:szCs w:val="24"/>
        </w:rPr>
      </w:pPr>
    </w:p>
    <w:p w14:paraId="566577F2" w14:textId="35329BB6" w:rsidR="00877521" w:rsidRDefault="003C6977" w:rsidP="00FE3DFF">
      <w:pPr>
        <w:pStyle w:val="Listaszerbekezds"/>
        <w:numPr>
          <w:ilvl w:val="0"/>
          <w:numId w:val="4"/>
        </w:numPr>
        <w:spacing w:after="0"/>
        <w:jc w:val="both"/>
        <w:rPr>
          <w:rFonts w:ascii="Times New Roman félkövér" w:hAnsi="Times New Roman félkövér" w:cs="Times New Roman"/>
          <w:b/>
          <w:smallCaps/>
          <w:sz w:val="24"/>
          <w:szCs w:val="24"/>
        </w:rPr>
      </w:pPr>
      <w:r>
        <w:rPr>
          <w:rFonts w:ascii="Times New Roman félkövér" w:hAnsi="Times New Roman félkövér" w:cs="Times New Roman"/>
          <w:b/>
          <w:smallCaps/>
          <w:sz w:val="24"/>
          <w:szCs w:val="24"/>
        </w:rPr>
        <w:t>A Bolar kivétel az egyes jogforrásokban</w:t>
      </w:r>
    </w:p>
    <w:p w14:paraId="0DB757B5" w14:textId="77777777" w:rsidR="00877521" w:rsidRPr="00265EA9" w:rsidRDefault="00A86D22" w:rsidP="00FE3DFF">
      <w:pPr>
        <w:spacing w:after="0"/>
        <w:jc w:val="both"/>
        <w:rPr>
          <w:rFonts w:ascii="Times New Roman" w:hAnsi="Times New Roman" w:cs="Times New Roman"/>
          <w:b/>
          <w:sz w:val="24"/>
          <w:szCs w:val="24"/>
        </w:rPr>
      </w:pPr>
      <w:r w:rsidRPr="00265EA9">
        <w:rPr>
          <w:rFonts w:ascii="Times New Roman" w:hAnsi="Times New Roman" w:cs="Times New Roman"/>
          <w:b/>
          <w:sz w:val="24"/>
          <w:szCs w:val="24"/>
        </w:rPr>
        <w:t>2.1.</w:t>
      </w:r>
      <w:r w:rsidR="00877521" w:rsidRPr="00265EA9">
        <w:rPr>
          <w:rFonts w:ascii="Times New Roman" w:hAnsi="Times New Roman" w:cs="Times New Roman"/>
          <w:b/>
          <w:sz w:val="24"/>
          <w:szCs w:val="24"/>
        </w:rPr>
        <w:t xml:space="preserve"> Nemzetközi szabályozás –</w:t>
      </w:r>
      <w:r w:rsidR="00F336F3" w:rsidRPr="00265EA9">
        <w:rPr>
          <w:rFonts w:ascii="Times New Roman" w:hAnsi="Times New Roman" w:cs="Times New Roman"/>
          <w:b/>
          <w:sz w:val="24"/>
          <w:szCs w:val="24"/>
        </w:rPr>
        <w:t xml:space="preserve"> </w:t>
      </w:r>
      <w:r w:rsidR="003C6977">
        <w:rPr>
          <w:rFonts w:ascii="Times New Roman" w:hAnsi="Times New Roman" w:cs="Times New Roman"/>
          <w:b/>
          <w:sz w:val="24"/>
          <w:szCs w:val="24"/>
        </w:rPr>
        <w:t xml:space="preserve">a </w:t>
      </w:r>
      <w:r w:rsidR="00F336F3" w:rsidRPr="00265EA9">
        <w:rPr>
          <w:rFonts w:ascii="Times New Roman" w:hAnsi="Times New Roman" w:cs="Times New Roman"/>
          <w:b/>
          <w:sz w:val="24"/>
          <w:szCs w:val="24"/>
        </w:rPr>
        <w:t>TRIPs</w:t>
      </w:r>
      <w:r w:rsidR="00877521" w:rsidRPr="00265EA9">
        <w:rPr>
          <w:rFonts w:ascii="Times New Roman" w:hAnsi="Times New Roman" w:cs="Times New Roman"/>
          <w:b/>
          <w:sz w:val="24"/>
          <w:szCs w:val="24"/>
        </w:rPr>
        <w:t xml:space="preserve"> </w:t>
      </w:r>
      <w:r w:rsidR="002B2685">
        <w:rPr>
          <w:rFonts w:ascii="Times New Roman" w:hAnsi="Times New Roman" w:cs="Times New Roman"/>
          <w:b/>
          <w:sz w:val="24"/>
          <w:szCs w:val="24"/>
        </w:rPr>
        <w:t>M</w:t>
      </w:r>
      <w:r w:rsidR="002F2D04" w:rsidRPr="00265EA9">
        <w:rPr>
          <w:rFonts w:ascii="Times New Roman" w:hAnsi="Times New Roman" w:cs="Times New Roman"/>
          <w:b/>
          <w:sz w:val="24"/>
          <w:szCs w:val="24"/>
        </w:rPr>
        <w:t>egállapodás</w:t>
      </w:r>
    </w:p>
    <w:p w14:paraId="4DAC7798" w14:textId="77777777" w:rsidR="00241345" w:rsidRPr="00265EA9" w:rsidRDefault="00241345" w:rsidP="00FE3DFF">
      <w:pPr>
        <w:spacing w:after="0"/>
        <w:jc w:val="both"/>
        <w:rPr>
          <w:rFonts w:ascii="Times New Roman" w:hAnsi="Times New Roman" w:cs="Times New Roman"/>
          <w:bCs/>
          <w:sz w:val="24"/>
          <w:szCs w:val="24"/>
        </w:rPr>
      </w:pPr>
    </w:p>
    <w:p w14:paraId="6C74EEF0" w14:textId="2E7A78FC" w:rsidR="00F336F3" w:rsidRPr="00265EA9" w:rsidRDefault="00F336F3" w:rsidP="00FE3DFF">
      <w:pPr>
        <w:spacing w:after="0"/>
        <w:jc w:val="both"/>
        <w:rPr>
          <w:rFonts w:ascii="Times New Roman" w:hAnsi="Times New Roman" w:cs="Times New Roman"/>
          <w:sz w:val="24"/>
          <w:szCs w:val="24"/>
        </w:rPr>
      </w:pPr>
      <w:r w:rsidRPr="00265EA9">
        <w:rPr>
          <w:rFonts w:ascii="Times New Roman" w:hAnsi="Times New Roman" w:cs="Times New Roman"/>
          <w:bCs/>
          <w:sz w:val="24"/>
          <w:szCs w:val="24"/>
        </w:rPr>
        <w:t>A szellemi tulajdonjogok kereskedelemmel összefüggő kérdéseiről szóló megállapodás</w:t>
      </w:r>
      <w:r w:rsidR="00CD7D5F" w:rsidRPr="00265EA9">
        <w:rPr>
          <w:rFonts w:ascii="Times New Roman" w:hAnsi="Times New Roman" w:cs="Times New Roman"/>
          <w:bCs/>
          <w:sz w:val="24"/>
          <w:szCs w:val="24"/>
        </w:rPr>
        <w:t xml:space="preserve"> (</w:t>
      </w:r>
      <w:r w:rsidR="003C6977">
        <w:rPr>
          <w:rFonts w:ascii="Times New Roman" w:hAnsi="Times New Roman" w:cs="Times New Roman"/>
          <w:bCs/>
          <w:sz w:val="24"/>
          <w:szCs w:val="24"/>
        </w:rPr>
        <w:t xml:space="preserve">a továbbiakban: </w:t>
      </w:r>
      <w:r w:rsidR="00CD7D5F" w:rsidRPr="00265EA9">
        <w:rPr>
          <w:rFonts w:ascii="Times New Roman" w:hAnsi="Times New Roman" w:cs="Times New Roman"/>
          <w:bCs/>
          <w:sz w:val="24"/>
          <w:szCs w:val="24"/>
        </w:rPr>
        <w:t>TRIPs</w:t>
      </w:r>
      <w:r w:rsidRPr="00265EA9">
        <w:rPr>
          <w:rFonts w:ascii="Times New Roman" w:hAnsi="Times New Roman" w:cs="Times New Roman"/>
          <w:bCs/>
          <w:sz w:val="24"/>
          <w:szCs w:val="24"/>
        </w:rPr>
        <w:t xml:space="preserve"> </w:t>
      </w:r>
      <w:r w:rsidR="002B2685">
        <w:rPr>
          <w:rFonts w:ascii="Times New Roman" w:hAnsi="Times New Roman" w:cs="Times New Roman"/>
          <w:bCs/>
          <w:sz w:val="24"/>
          <w:szCs w:val="24"/>
        </w:rPr>
        <w:t>M</w:t>
      </w:r>
      <w:r w:rsidRPr="00265EA9">
        <w:rPr>
          <w:rFonts w:ascii="Times New Roman" w:hAnsi="Times New Roman" w:cs="Times New Roman"/>
          <w:bCs/>
          <w:sz w:val="24"/>
          <w:szCs w:val="24"/>
        </w:rPr>
        <w:t>egállapodás)</w:t>
      </w:r>
      <w:r w:rsidR="003C6977">
        <w:rPr>
          <w:rStyle w:val="Lbjegyzet-hivatkozs"/>
          <w:rFonts w:ascii="Times New Roman" w:hAnsi="Times New Roman" w:cs="Times New Roman"/>
          <w:bCs/>
          <w:sz w:val="24"/>
          <w:szCs w:val="24"/>
        </w:rPr>
        <w:footnoteReference w:id="9"/>
      </w:r>
      <w:r w:rsidRPr="00265EA9">
        <w:rPr>
          <w:rFonts w:ascii="Times New Roman" w:hAnsi="Times New Roman" w:cs="Times New Roman"/>
          <w:b/>
          <w:bCs/>
          <w:sz w:val="24"/>
          <w:szCs w:val="24"/>
        </w:rPr>
        <w:t xml:space="preserve"> </w:t>
      </w:r>
      <w:r w:rsidRPr="00265EA9">
        <w:rPr>
          <w:rFonts w:ascii="Times New Roman" w:hAnsi="Times New Roman" w:cs="Times New Roman"/>
          <w:sz w:val="24"/>
          <w:szCs w:val="24"/>
        </w:rPr>
        <w:t xml:space="preserve">30. </w:t>
      </w:r>
      <w:r w:rsidR="002B2685">
        <w:rPr>
          <w:rFonts w:ascii="Times New Roman" w:hAnsi="Times New Roman" w:cs="Times New Roman"/>
          <w:sz w:val="24"/>
          <w:szCs w:val="24"/>
        </w:rPr>
        <w:t>cikke</w:t>
      </w:r>
      <w:r w:rsidR="005F262E">
        <w:rPr>
          <w:rFonts w:ascii="Times New Roman" w:hAnsi="Times New Roman" w:cs="Times New Roman"/>
          <w:sz w:val="24"/>
          <w:szCs w:val="24"/>
        </w:rPr>
        <w:t xml:space="preserve"> nem kifejezetten Bolar kivételt tartalmaz, hanem </w:t>
      </w:r>
      <w:r w:rsidR="002B2685">
        <w:rPr>
          <w:rFonts w:ascii="Times New Roman" w:hAnsi="Times New Roman" w:cs="Times New Roman"/>
          <w:sz w:val="24"/>
          <w:szCs w:val="24"/>
        </w:rPr>
        <w:t>az alábbi általános megközelítést a szabadalmi oltalom alóli kivételek tekintetében:</w:t>
      </w:r>
    </w:p>
    <w:p w14:paraId="5CFF5C88" w14:textId="77777777" w:rsidR="00241345" w:rsidRPr="00265EA9" w:rsidRDefault="00241345" w:rsidP="00FE3DFF">
      <w:pPr>
        <w:spacing w:after="0"/>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4534"/>
        <w:gridCol w:w="4528"/>
      </w:tblGrid>
      <w:tr w:rsidR="002B2685" w:rsidRPr="002B2685" w14:paraId="0486D4B7" w14:textId="77777777" w:rsidTr="002B2685">
        <w:tc>
          <w:tcPr>
            <w:tcW w:w="4606" w:type="dxa"/>
          </w:tcPr>
          <w:p w14:paraId="4B8DA43F" w14:textId="77777777" w:rsidR="002B2685" w:rsidRPr="002B2685" w:rsidRDefault="002B2685" w:rsidP="00FE3DFF">
            <w:pPr>
              <w:jc w:val="center"/>
              <w:rPr>
                <w:rFonts w:ascii="Times New Roman" w:hAnsi="Times New Roman" w:cs="Times New Roman"/>
                <w:b/>
                <w:sz w:val="24"/>
                <w:szCs w:val="24"/>
              </w:rPr>
            </w:pPr>
            <w:r w:rsidRPr="002B2685">
              <w:rPr>
                <w:rFonts w:ascii="Times New Roman" w:hAnsi="Times New Roman" w:cs="Times New Roman"/>
                <w:b/>
                <w:sz w:val="24"/>
                <w:szCs w:val="24"/>
              </w:rPr>
              <w:t>Magyar szöveg</w:t>
            </w:r>
          </w:p>
        </w:tc>
        <w:tc>
          <w:tcPr>
            <w:tcW w:w="4606" w:type="dxa"/>
          </w:tcPr>
          <w:p w14:paraId="13E2F2BC" w14:textId="77777777" w:rsidR="002B2685" w:rsidRPr="002B2685" w:rsidRDefault="002B2685" w:rsidP="00FE3DFF">
            <w:pPr>
              <w:jc w:val="center"/>
              <w:rPr>
                <w:rFonts w:ascii="Times New Roman" w:hAnsi="Times New Roman" w:cs="Times New Roman"/>
                <w:b/>
                <w:sz w:val="24"/>
                <w:szCs w:val="24"/>
              </w:rPr>
            </w:pPr>
            <w:r w:rsidRPr="002B2685">
              <w:rPr>
                <w:rFonts w:ascii="Times New Roman" w:hAnsi="Times New Roman" w:cs="Times New Roman"/>
                <w:b/>
                <w:sz w:val="24"/>
                <w:szCs w:val="24"/>
              </w:rPr>
              <w:t>Angol szöveg</w:t>
            </w:r>
          </w:p>
        </w:tc>
      </w:tr>
      <w:tr w:rsidR="002B2685" w14:paraId="32299A13" w14:textId="77777777" w:rsidTr="002B2685">
        <w:tc>
          <w:tcPr>
            <w:tcW w:w="4606" w:type="dxa"/>
          </w:tcPr>
          <w:p w14:paraId="439B2FB8" w14:textId="77777777" w:rsidR="002B2685" w:rsidRDefault="002B2685" w:rsidP="00FE3DFF">
            <w:pPr>
              <w:jc w:val="both"/>
              <w:rPr>
                <w:rFonts w:ascii="Times New Roman" w:hAnsi="Times New Roman" w:cs="Times New Roman"/>
                <w:sz w:val="24"/>
                <w:szCs w:val="24"/>
              </w:rPr>
            </w:pPr>
            <w:r w:rsidRPr="00265EA9">
              <w:rPr>
                <w:rFonts w:ascii="Times New Roman" w:hAnsi="Times New Roman" w:cs="Times New Roman"/>
                <w:i/>
                <w:iCs/>
                <w:sz w:val="24"/>
                <w:szCs w:val="24"/>
              </w:rPr>
              <w:t xml:space="preserve">A Tagok rendelkezhetnek a szabadalomból eredő kizárólagos jogok hatálya alól meghatározott kivételekről, feltéve, hogy az </w:t>
            </w:r>
            <w:r w:rsidRPr="00265EA9">
              <w:rPr>
                <w:rFonts w:ascii="Times New Roman" w:hAnsi="Times New Roman" w:cs="Times New Roman"/>
                <w:b/>
                <w:bCs/>
                <w:i/>
                <w:iCs/>
                <w:sz w:val="24"/>
                <w:szCs w:val="24"/>
              </w:rPr>
              <w:t xml:space="preserve">ilyen kivételek nem ésszerűtlenül </w:t>
            </w:r>
            <w:r w:rsidRPr="00265EA9">
              <w:rPr>
                <w:rFonts w:ascii="Times New Roman" w:hAnsi="Times New Roman" w:cs="Times New Roman"/>
                <w:b/>
                <w:bCs/>
                <w:i/>
                <w:iCs/>
                <w:sz w:val="24"/>
                <w:szCs w:val="24"/>
              </w:rPr>
              <w:lastRenderedPageBreak/>
              <w:t>ellentétesek a szabadalom szokásos hasznosításával és nem sértik aránytalanul a szabadalmas jogos érdekeit, figyelembe véve harmadik felek jogos érdekeit is.</w:t>
            </w:r>
          </w:p>
        </w:tc>
        <w:tc>
          <w:tcPr>
            <w:tcW w:w="4606" w:type="dxa"/>
          </w:tcPr>
          <w:p w14:paraId="33828B5F" w14:textId="77777777" w:rsidR="002B2685" w:rsidRPr="00D95A70" w:rsidRDefault="002B2685" w:rsidP="00FE3DFF">
            <w:pPr>
              <w:jc w:val="both"/>
              <w:rPr>
                <w:rFonts w:ascii="Times New Roman" w:hAnsi="Times New Roman" w:cs="Times New Roman"/>
                <w:sz w:val="24"/>
                <w:szCs w:val="24"/>
                <w:lang w:val="en-GB"/>
              </w:rPr>
            </w:pPr>
            <w:r w:rsidRPr="00D95A70">
              <w:rPr>
                <w:rFonts w:ascii="Times New Roman" w:hAnsi="Times New Roman" w:cs="Times New Roman"/>
                <w:i/>
                <w:sz w:val="24"/>
                <w:szCs w:val="24"/>
                <w:lang w:val="en-GB"/>
              </w:rPr>
              <w:lastRenderedPageBreak/>
              <w:t xml:space="preserve">Members may provide </w:t>
            </w:r>
            <w:r w:rsidRPr="00D95A70">
              <w:rPr>
                <w:rFonts w:ascii="Times New Roman" w:hAnsi="Times New Roman" w:cs="Times New Roman"/>
                <w:b/>
                <w:i/>
                <w:sz w:val="24"/>
                <w:szCs w:val="24"/>
                <w:lang w:val="en-GB"/>
              </w:rPr>
              <w:t>limited exceptions</w:t>
            </w:r>
            <w:r w:rsidRPr="00D95A70">
              <w:rPr>
                <w:rFonts w:ascii="Times New Roman" w:hAnsi="Times New Roman" w:cs="Times New Roman"/>
                <w:i/>
                <w:sz w:val="24"/>
                <w:szCs w:val="24"/>
                <w:lang w:val="en-GB"/>
              </w:rPr>
              <w:t xml:space="preserve"> to the exclusive rights conferred by a patent, provided that such exceptions </w:t>
            </w:r>
            <w:r w:rsidRPr="00D95A70">
              <w:rPr>
                <w:rFonts w:ascii="Times New Roman" w:hAnsi="Times New Roman" w:cs="Times New Roman"/>
                <w:b/>
                <w:i/>
                <w:sz w:val="24"/>
                <w:szCs w:val="24"/>
                <w:lang w:val="en-GB"/>
              </w:rPr>
              <w:t xml:space="preserve">do not unreasonably conflict with a normal </w:t>
            </w:r>
            <w:r w:rsidRPr="00D95A70">
              <w:rPr>
                <w:rFonts w:ascii="Times New Roman" w:hAnsi="Times New Roman" w:cs="Times New Roman"/>
                <w:b/>
                <w:i/>
                <w:sz w:val="24"/>
                <w:szCs w:val="24"/>
                <w:lang w:val="en-GB"/>
              </w:rPr>
              <w:lastRenderedPageBreak/>
              <w:t>exploitation</w:t>
            </w:r>
            <w:r w:rsidRPr="00D95A70">
              <w:rPr>
                <w:rFonts w:ascii="Times New Roman" w:hAnsi="Times New Roman" w:cs="Times New Roman"/>
                <w:i/>
                <w:sz w:val="24"/>
                <w:szCs w:val="24"/>
                <w:lang w:val="en-GB"/>
              </w:rPr>
              <w:t xml:space="preserve"> of the patent and </w:t>
            </w:r>
            <w:r w:rsidRPr="00D95A70">
              <w:rPr>
                <w:rFonts w:ascii="Times New Roman" w:hAnsi="Times New Roman" w:cs="Times New Roman"/>
                <w:b/>
                <w:i/>
                <w:sz w:val="24"/>
                <w:szCs w:val="24"/>
                <w:lang w:val="en-GB"/>
              </w:rPr>
              <w:t>do not unreasonably prejudice the legitimate interests of the patent owner</w:t>
            </w:r>
            <w:r w:rsidRPr="00D95A70">
              <w:rPr>
                <w:rFonts w:ascii="Times New Roman" w:hAnsi="Times New Roman" w:cs="Times New Roman"/>
                <w:i/>
                <w:sz w:val="24"/>
                <w:szCs w:val="24"/>
                <w:lang w:val="en-GB"/>
              </w:rPr>
              <w:t xml:space="preserve">, </w:t>
            </w:r>
            <w:r w:rsidRPr="00D95A70">
              <w:rPr>
                <w:rFonts w:ascii="Times New Roman" w:hAnsi="Times New Roman" w:cs="Times New Roman"/>
                <w:b/>
                <w:i/>
                <w:sz w:val="24"/>
                <w:szCs w:val="24"/>
                <w:lang w:val="en-GB"/>
              </w:rPr>
              <w:t>taking account of the legitimate interests of third parties</w:t>
            </w:r>
            <w:r w:rsidRPr="00D95A70">
              <w:rPr>
                <w:rFonts w:ascii="Times New Roman" w:hAnsi="Times New Roman" w:cs="Times New Roman"/>
                <w:i/>
                <w:sz w:val="24"/>
                <w:szCs w:val="24"/>
                <w:lang w:val="en-GB"/>
              </w:rPr>
              <w:t>.</w:t>
            </w:r>
          </w:p>
        </w:tc>
      </w:tr>
    </w:tbl>
    <w:p w14:paraId="5C8E9E72" w14:textId="43964FE8" w:rsidR="005F262E" w:rsidRPr="005F262E" w:rsidRDefault="005F262E" w:rsidP="00FE3DFF">
      <w:pPr>
        <w:spacing w:after="0"/>
        <w:jc w:val="both"/>
        <w:rPr>
          <w:rFonts w:ascii="Times New Roman" w:hAnsi="Times New Roman" w:cs="Times New Roman"/>
          <w:i/>
          <w:iCs/>
          <w:sz w:val="24"/>
          <w:szCs w:val="24"/>
        </w:rPr>
      </w:pPr>
    </w:p>
    <w:p w14:paraId="3F3851A6" w14:textId="479CF21B" w:rsidR="00CD7D5F" w:rsidRPr="00265EA9" w:rsidRDefault="00825F40" w:rsidP="00FE3DFF">
      <w:pPr>
        <w:pStyle w:val="Listaszerbekezds"/>
        <w:numPr>
          <w:ilvl w:val="1"/>
          <w:numId w:val="13"/>
        </w:numPr>
        <w:spacing w:after="0"/>
        <w:jc w:val="both"/>
        <w:rPr>
          <w:rFonts w:ascii="Times New Roman" w:hAnsi="Times New Roman" w:cs="Times New Roman"/>
          <w:b/>
          <w:sz w:val="24"/>
          <w:szCs w:val="24"/>
        </w:rPr>
      </w:pPr>
      <w:r w:rsidRPr="00265EA9">
        <w:rPr>
          <w:rFonts w:ascii="Times New Roman" w:hAnsi="Times New Roman" w:cs="Times New Roman"/>
          <w:b/>
          <w:iCs/>
          <w:sz w:val="24"/>
          <w:szCs w:val="24"/>
        </w:rPr>
        <w:t xml:space="preserve"> </w:t>
      </w:r>
      <w:r w:rsidR="002B2685">
        <w:rPr>
          <w:rFonts w:ascii="Times New Roman" w:hAnsi="Times New Roman" w:cs="Times New Roman"/>
          <w:b/>
          <w:iCs/>
          <w:sz w:val="24"/>
          <w:szCs w:val="24"/>
        </w:rPr>
        <w:t>Az Európai Unió</w:t>
      </w:r>
      <w:r w:rsidR="00CD7D5F" w:rsidRPr="00265EA9">
        <w:rPr>
          <w:rFonts w:ascii="Times New Roman" w:hAnsi="Times New Roman" w:cs="Times New Roman"/>
          <w:b/>
          <w:iCs/>
          <w:sz w:val="24"/>
          <w:szCs w:val="24"/>
        </w:rPr>
        <w:t xml:space="preserve"> szabályozás</w:t>
      </w:r>
      <w:r w:rsidR="002B2685">
        <w:rPr>
          <w:rFonts w:ascii="Times New Roman" w:hAnsi="Times New Roman" w:cs="Times New Roman"/>
          <w:b/>
          <w:iCs/>
          <w:sz w:val="24"/>
          <w:szCs w:val="24"/>
        </w:rPr>
        <w:t>a</w:t>
      </w:r>
    </w:p>
    <w:p w14:paraId="6EA13322" w14:textId="77777777" w:rsidR="0042171C" w:rsidRPr="00265EA9" w:rsidRDefault="0042171C" w:rsidP="00FE3DFF">
      <w:pPr>
        <w:pStyle w:val="Listaszerbekezds"/>
        <w:spacing w:after="0"/>
        <w:ind w:left="360"/>
        <w:jc w:val="both"/>
        <w:rPr>
          <w:rFonts w:ascii="Times New Roman" w:hAnsi="Times New Roman" w:cs="Times New Roman"/>
          <w:b/>
          <w:sz w:val="24"/>
          <w:szCs w:val="24"/>
        </w:rPr>
      </w:pPr>
    </w:p>
    <w:p w14:paraId="39337EE3" w14:textId="77777777" w:rsidR="00CD7D5F" w:rsidRPr="00265EA9" w:rsidRDefault="00CD7D5F" w:rsidP="00FE3DFF">
      <w:pPr>
        <w:pStyle w:val="Listaszerbekezds"/>
        <w:spacing w:after="0"/>
        <w:ind w:left="0"/>
        <w:jc w:val="both"/>
        <w:rPr>
          <w:rFonts w:ascii="Times New Roman" w:hAnsi="Times New Roman" w:cs="Times New Roman"/>
          <w:sz w:val="24"/>
          <w:szCs w:val="24"/>
        </w:rPr>
      </w:pPr>
      <w:r w:rsidRPr="00265EA9">
        <w:rPr>
          <w:rFonts w:ascii="Times New Roman" w:hAnsi="Times New Roman" w:cs="Times New Roman"/>
          <w:sz w:val="24"/>
          <w:szCs w:val="24"/>
        </w:rPr>
        <w:t xml:space="preserve">A Bolar kivételt az </w:t>
      </w:r>
      <w:r w:rsidR="005850E0">
        <w:rPr>
          <w:rFonts w:ascii="Times New Roman" w:hAnsi="Times New Roman" w:cs="Times New Roman"/>
          <w:sz w:val="24"/>
          <w:szCs w:val="24"/>
        </w:rPr>
        <w:t>Európai Unió</w:t>
      </w:r>
      <w:r w:rsidRPr="00265EA9">
        <w:rPr>
          <w:rFonts w:ascii="Times New Roman" w:hAnsi="Times New Roman" w:cs="Times New Roman"/>
          <w:sz w:val="24"/>
          <w:szCs w:val="24"/>
        </w:rPr>
        <w:t xml:space="preserve"> jog</w:t>
      </w:r>
      <w:r w:rsidR="005850E0">
        <w:rPr>
          <w:rFonts w:ascii="Times New Roman" w:hAnsi="Times New Roman" w:cs="Times New Roman"/>
          <w:sz w:val="24"/>
          <w:szCs w:val="24"/>
        </w:rPr>
        <w:t>á</w:t>
      </w:r>
      <w:r w:rsidRPr="00265EA9">
        <w:rPr>
          <w:rFonts w:ascii="Times New Roman" w:hAnsi="Times New Roman" w:cs="Times New Roman"/>
          <w:sz w:val="24"/>
          <w:szCs w:val="24"/>
        </w:rPr>
        <w:t xml:space="preserve">ba az Európai Parlament és a Tanács 2004/27/EK irányelvvel módosított emberi felhasználásra szánt </w:t>
      </w:r>
      <w:r w:rsidRPr="00265EA9">
        <w:rPr>
          <w:rFonts w:ascii="Times New Roman" w:hAnsi="Times New Roman" w:cs="Times New Roman"/>
          <w:b/>
          <w:sz w:val="24"/>
          <w:szCs w:val="24"/>
        </w:rPr>
        <w:t>gyógyszerek közösségi kódexéről szóló 2001/83/EK irányelv</w:t>
      </w:r>
      <w:r w:rsidRPr="00265EA9">
        <w:rPr>
          <w:rFonts w:ascii="Times New Roman" w:hAnsi="Times New Roman" w:cs="Times New Roman"/>
          <w:sz w:val="24"/>
          <w:szCs w:val="24"/>
        </w:rPr>
        <w:t xml:space="preserve"> (a továbbiakban: </w:t>
      </w:r>
      <w:r w:rsidR="0018714B" w:rsidRPr="0018714B">
        <w:rPr>
          <w:rFonts w:ascii="Times New Roman" w:hAnsi="Times New Roman" w:cs="Times New Roman"/>
          <w:sz w:val="24"/>
          <w:szCs w:val="24"/>
        </w:rPr>
        <w:t xml:space="preserve">2001/83/EK </w:t>
      </w:r>
      <w:r w:rsidR="0018714B">
        <w:rPr>
          <w:rFonts w:ascii="Times New Roman" w:hAnsi="Times New Roman" w:cs="Times New Roman"/>
          <w:sz w:val="24"/>
          <w:szCs w:val="24"/>
        </w:rPr>
        <w:t>irányelv)</w:t>
      </w:r>
      <w:r w:rsidR="005A2B88">
        <w:rPr>
          <w:rStyle w:val="Lbjegyzet-hivatkozs"/>
          <w:rFonts w:ascii="Times New Roman" w:hAnsi="Times New Roman" w:cs="Times New Roman"/>
          <w:sz w:val="24"/>
          <w:szCs w:val="24"/>
        </w:rPr>
        <w:footnoteReference w:id="10"/>
      </w:r>
      <w:r w:rsidR="0018714B">
        <w:rPr>
          <w:rFonts w:ascii="Times New Roman" w:hAnsi="Times New Roman" w:cs="Times New Roman"/>
          <w:sz w:val="24"/>
          <w:szCs w:val="24"/>
        </w:rPr>
        <w:t xml:space="preserve"> vezette be. A </w:t>
      </w:r>
      <w:r w:rsidR="0018714B" w:rsidRPr="0018714B">
        <w:rPr>
          <w:rFonts w:ascii="Times New Roman" w:hAnsi="Times New Roman" w:cs="Times New Roman"/>
          <w:sz w:val="24"/>
          <w:szCs w:val="24"/>
        </w:rPr>
        <w:t>2001/83/EK</w:t>
      </w:r>
      <w:r w:rsidRPr="00265EA9">
        <w:rPr>
          <w:rFonts w:ascii="Times New Roman" w:hAnsi="Times New Roman" w:cs="Times New Roman"/>
          <w:sz w:val="24"/>
          <w:szCs w:val="24"/>
        </w:rPr>
        <w:t xml:space="preserve"> irányelv 10. cikkének (6) bekezdése </w:t>
      </w:r>
      <w:r w:rsidR="0018714B">
        <w:rPr>
          <w:rFonts w:ascii="Times New Roman" w:hAnsi="Times New Roman" w:cs="Times New Roman"/>
          <w:sz w:val="24"/>
          <w:szCs w:val="24"/>
        </w:rPr>
        <w:t>az alábbiak szerint rendelkezik</w:t>
      </w:r>
      <w:r w:rsidRPr="00265EA9">
        <w:rPr>
          <w:rFonts w:ascii="Times New Roman" w:hAnsi="Times New Roman" w:cs="Times New Roman"/>
          <w:sz w:val="24"/>
          <w:szCs w:val="24"/>
        </w:rPr>
        <w:t>:</w:t>
      </w:r>
    </w:p>
    <w:p w14:paraId="079794B9" w14:textId="77777777" w:rsidR="00241345" w:rsidRPr="00265EA9" w:rsidRDefault="00241345" w:rsidP="00FE3DFF">
      <w:pPr>
        <w:spacing w:after="0"/>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4533"/>
        <w:gridCol w:w="4529"/>
      </w:tblGrid>
      <w:tr w:rsidR="005850E0" w14:paraId="5AC936F2" w14:textId="77777777" w:rsidTr="005850E0">
        <w:tc>
          <w:tcPr>
            <w:tcW w:w="4606" w:type="dxa"/>
          </w:tcPr>
          <w:p w14:paraId="5D3130E8" w14:textId="77777777" w:rsidR="005850E0" w:rsidRPr="005A2B88" w:rsidRDefault="005850E0" w:rsidP="00FE3DFF">
            <w:pPr>
              <w:jc w:val="center"/>
              <w:rPr>
                <w:rFonts w:ascii="Times New Roman" w:hAnsi="Times New Roman" w:cs="Times New Roman"/>
                <w:b/>
                <w:sz w:val="24"/>
                <w:szCs w:val="24"/>
              </w:rPr>
            </w:pPr>
            <w:r w:rsidRPr="005A2B88">
              <w:rPr>
                <w:rFonts w:ascii="Times New Roman" w:hAnsi="Times New Roman" w:cs="Times New Roman"/>
                <w:b/>
                <w:sz w:val="24"/>
                <w:szCs w:val="24"/>
              </w:rPr>
              <w:t>Magyar szöveg</w:t>
            </w:r>
          </w:p>
        </w:tc>
        <w:tc>
          <w:tcPr>
            <w:tcW w:w="4606" w:type="dxa"/>
          </w:tcPr>
          <w:p w14:paraId="432E1ADC" w14:textId="77777777" w:rsidR="005850E0" w:rsidRPr="005A2B88" w:rsidRDefault="005850E0" w:rsidP="00FE3DFF">
            <w:pPr>
              <w:jc w:val="center"/>
              <w:rPr>
                <w:rFonts w:ascii="Times New Roman" w:hAnsi="Times New Roman" w:cs="Times New Roman"/>
                <w:b/>
                <w:sz w:val="24"/>
                <w:szCs w:val="24"/>
              </w:rPr>
            </w:pPr>
            <w:r w:rsidRPr="005A2B88">
              <w:rPr>
                <w:rFonts w:ascii="Times New Roman" w:hAnsi="Times New Roman" w:cs="Times New Roman"/>
                <w:b/>
                <w:sz w:val="24"/>
                <w:szCs w:val="24"/>
              </w:rPr>
              <w:t>Angol szöveg</w:t>
            </w:r>
          </w:p>
        </w:tc>
      </w:tr>
      <w:tr w:rsidR="005850E0" w14:paraId="22CB53E3" w14:textId="77777777" w:rsidTr="005850E0">
        <w:tc>
          <w:tcPr>
            <w:tcW w:w="4606" w:type="dxa"/>
          </w:tcPr>
          <w:p w14:paraId="744DD7A0" w14:textId="2FC1527F" w:rsidR="005850E0" w:rsidRDefault="005850E0" w:rsidP="00FE3DFF">
            <w:pPr>
              <w:jc w:val="both"/>
              <w:rPr>
                <w:rFonts w:ascii="Times New Roman" w:hAnsi="Times New Roman" w:cs="Times New Roman"/>
                <w:sz w:val="24"/>
                <w:szCs w:val="24"/>
              </w:rPr>
            </w:pPr>
            <w:r w:rsidRPr="00265EA9">
              <w:rPr>
                <w:rFonts w:ascii="Times New Roman" w:hAnsi="Times New Roman" w:cs="Times New Roman"/>
                <w:sz w:val="24"/>
                <w:szCs w:val="24"/>
              </w:rPr>
              <w:t>„</w:t>
            </w:r>
            <w:r w:rsidRPr="00265EA9">
              <w:rPr>
                <w:rFonts w:ascii="Times New Roman" w:hAnsi="Times New Roman" w:cs="Times New Roman"/>
                <w:i/>
                <w:iCs/>
                <w:sz w:val="24"/>
                <w:szCs w:val="24"/>
              </w:rPr>
              <w:t>Az (1), a (2), a (3) és a (4) bekezdés</w:t>
            </w:r>
            <w:r w:rsidR="002F5481" w:rsidRPr="009F28AA">
              <w:rPr>
                <w:rStyle w:val="Lbjegyzet-hivatkozs"/>
                <w:rFonts w:ascii="Times New Roman" w:hAnsi="Times New Roman" w:cs="Times New Roman"/>
                <w:iCs/>
                <w:sz w:val="24"/>
                <w:szCs w:val="24"/>
              </w:rPr>
              <w:footnoteReference w:id="11"/>
            </w:r>
            <w:r w:rsidRPr="00265EA9">
              <w:rPr>
                <w:rFonts w:ascii="Times New Roman" w:hAnsi="Times New Roman" w:cs="Times New Roman"/>
                <w:i/>
                <w:iCs/>
                <w:sz w:val="24"/>
                <w:szCs w:val="24"/>
              </w:rPr>
              <w:t xml:space="preserve"> alkalmazásához </w:t>
            </w:r>
            <w:r w:rsidRPr="005A2B88">
              <w:rPr>
                <w:rFonts w:ascii="Times New Roman" w:hAnsi="Times New Roman" w:cs="Times New Roman"/>
                <w:b/>
                <w:bCs/>
                <w:i/>
                <w:iCs/>
                <w:sz w:val="24"/>
                <w:szCs w:val="24"/>
              </w:rPr>
              <w:t>szükséges tanulmányok és vizsgálatok</w:t>
            </w:r>
            <w:r w:rsidRPr="005A2B88">
              <w:rPr>
                <w:rFonts w:ascii="Times New Roman" w:hAnsi="Times New Roman" w:cs="Times New Roman"/>
                <w:i/>
                <w:iCs/>
                <w:sz w:val="24"/>
                <w:szCs w:val="24"/>
              </w:rPr>
              <w:t>,</w:t>
            </w:r>
            <w:r w:rsidRPr="00265EA9">
              <w:rPr>
                <w:rFonts w:ascii="Times New Roman" w:hAnsi="Times New Roman" w:cs="Times New Roman"/>
                <w:i/>
                <w:iCs/>
                <w:sz w:val="24"/>
                <w:szCs w:val="24"/>
              </w:rPr>
              <w:t xml:space="preserve"> </w:t>
            </w:r>
            <w:r w:rsidRPr="005A2B88">
              <w:rPr>
                <w:rFonts w:ascii="Times New Roman" w:hAnsi="Times New Roman" w:cs="Times New Roman"/>
                <w:b/>
                <w:i/>
                <w:iCs/>
                <w:sz w:val="24"/>
                <w:szCs w:val="24"/>
              </w:rPr>
              <w:t xml:space="preserve">valamint </w:t>
            </w:r>
            <w:r w:rsidRPr="005A2B88">
              <w:rPr>
                <w:rFonts w:ascii="Times New Roman" w:hAnsi="Times New Roman" w:cs="Times New Roman"/>
                <w:b/>
                <w:bCs/>
                <w:i/>
                <w:iCs/>
                <w:sz w:val="24"/>
                <w:szCs w:val="24"/>
              </w:rPr>
              <w:t>az azokból adódó gyakorlati követelmények</w:t>
            </w:r>
            <w:r w:rsidRPr="00265EA9">
              <w:rPr>
                <w:rFonts w:ascii="Times New Roman" w:hAnsi="Times New Roman" w:cs="Times New Roman"/>
                <w:bCs/>
                <w:i/>
                <w:iCs/>
                <w:sz w:val="24"/>
                <w:szCs w:val="24"/>
              </w:rPr>
              <w:t xml:space="preserve"> végrehajtása nem tekintendő ellentétesnek a szabadalmi jogokkal vagy a gyógyszerekre vonatkozó kiegészítő szabadalmi oltalmi tanúsítvánnyal.</w:t>
            </w:r>
            <w:r w:rsidRPr="00265EA9">
              <w:rPr>
                <w:rFonts w:ascii="Times New Roman" w:hAnsi="Times New Roman" w:cs="Times New Roman"/>
                <w:sz w:val="24"/>
                <w:szCs w:val="24"/>
              </w:rPr>
              <w:t>”</w:t>
            </w:r>
          </w:p>
        </w:tc>
        <w:tc>
          <w:tcPr>
            <w:tcW w:w="4606" w:type="dxa"/>
          </w:tcPr>
          <w:p w14:paraId="6955FCAC" w14:textId="77777777" w:rsidR="005850E0" w:rsidRPr="00D95A70" w:rsidRDefault="000A5387" w:rsidP="00FE3DFF">
            <w:pPr>
              <w:jc w:val="both"/>
              <w:rPr>
                <w:rFonts w:ascii="Times New Roman" w:hAnsi="Times New Roman" w:cs="Times New Roman"/>
                <w:sz w:val="24"/>
                <w:szCs w:val="24"/>
                <w:lang w:val="en-GB"/>
              </w:rPr>
            </w:pPr>
            <w:r w:rsidRPr="00D95A70">
              <w:rPr>
                <w:rFonts w:ascii="Times New Roman" w:hAnsi="Times New Roman" w:cs="Times New Roman"/>
                <w:sz w:val="24"/>
                <w:szCs w:val="24"/>
                <w:lang w:val="en-GB"/>
              </w:rPr>
              <w:t>Conducting t</w:t>
            </w:r>
            <w:r w:rsidRPr="00D95A70">
              <w:rPr>
                <w:rFonts w:ascii="Times New Roman" w:hAnsi="Times New Roman" w:cs="Times New Roman"/>
                <w:b/>
                <w:sz w:val="24"/>
                <w:szCs w:val="24"/>
                <w:lang w:val="en-GB"/>
              </w:rPr>
              <w:t>he necessary studies and trials</w:t>
            </w:r>
            <w:r w:rsidRPr="00D95A70">
              <w:rPr>
                <w:rFonts w:ascii="Times New Roman" w:hAnsi="Times New Roman" w:cs="Times New Roman"/>
                <w:sz w:val="24"/>
                <w:szCs w:val="24"/>
                <w:lang w:val="en-GB"/>
              </w:rPr>
              <w:t xml:space="preserve"> with a view to the application of paragraphs 1, 2, 3 and 4 </w:t>
            </w:r>
            <w:r w:rsidRPr="00D95A70">
              <w:rPr>
                <w:rFonts w:ascii="Times New Roman" w:hAnsi="Times New Roman" w:cs="Times New Roman"/>
                <w:b/>
                <w:sz w:val="24"/>
                <w:szCs w:val="24"/>
                <w:lang w:val="en-GB"/>
              </w:rPr>
              <w:t>and the consequential practical requirements</w:t>
            </w:r>
            <w:r w:rsidRPr="00D95A70">
              <w:rPr>
                <w:rFonts w:ascii="Times New Roman" w:hAnsi="Times New Roman" w:cs="Times New Roman"/>
                <w:sz w:val="24"/>
                <w:szCs w:val="24"/>
                <w:lang w:val="en-GB"/>
              </w:rPr>
              <w:t xml:space="preserve"> shall not be regarded as contrary to patent rights or to supplementary protection certificates for medicinal products.</w:t>
            </w:r>
          </w:p>
        </w:tc>
      </w:tr>
    </w:tbl>
    <w:p w14:paraId="6D5DF98A" w14:textId="77777777" w:rsidR="00241345" w:rsidRPr="00265EA9" w:rsidRDefault="00241345" w:rsidP="00FE3DFF">
      <w:pPr>
        <w:spacing w:after="0"/>
        <w:jc w:val="both"/>
        <w:rPr>
          <w:rFonts w:ascii="Times New Roman" w:hAnsi="Times New Roman" w:cs="Times New Roman"/>
          <w:sz w:val="24"/>
          <w:szCs w:val="24"/>
        </w:rPr>
      </w:pPr>
    </w:p>
    <w:p w14:paraId="493B0750" w14:textId="77777777" w:rsidR="00CD7D5F" w:rsidRPr="00265EA9" w:rsidRDefault="00CD7D5F" w:rsidP="00FE3DFF">
      <w:pPr>
        <w:spacing w:after="0"/>
        <w:jc w:val="both"/>
        <w:rPr>
          <w:rFonts w:ascii="Times New Roman" w:hAnsi="Times New Roman" w:cs="Times New Roman"/>
          <w:sz w:val="24"/>
          <w:szCs w:val="24"/>
        </w:rPr>
      </w:pPr>
      <w:r w:rsidRPr="00265EA9">
        <w:rPr>
          <w:rFonts w:ascii="Times New Roman" w:hAnsi="Times New Roman" w:cs="Times New Roman"/>
          <w:sz w:val="24"/>
          <w:szCs w:val="24"/>
        </w:rPr>
        <w:t>A Bolar kivételt</w:t>
      </w:r>
      <w:r w:rsidR="00776AC4">
        <w:rPr>
          <w:rFonts w:ascii="Times New Roman" w:hAnsi="Times New Roman" w:cs="Times New Roman"/>
          <w:sz w:val="24"/>
          <w:szCs w:val="24"/>
        </w:rPr>
        <w:t xml:space="preserve"> az uniós jogba</w:t>
      </w:r>
      <w:r w:rsidRPr="00265EA9">
        <w:rPr>
          <w:rFonts w:ascii="Times New Roman" w:hAnsi="Times New Roman" w:cs="Times New Roman"/>
          <w:sz w:val="24"/>
          <w:szCs w:val="24"/>
        </w:rPr>
        <w:t xml:space="preserve"> bevezető</w:t>
      </w:r>
      <w:r w:rsidR="00776AC4">
        <w:rPr>
          <w:rFonts w:ascii="Times New Roman" w:hAnsi="Times New Roman" w:cs="Times New Roman"/>
          <w:sz w:val="24"/>
          <w:szCs w:val="24"/>
        </w:rPr>
        <w:t xml:space="preserve">, </w:t>
      </w:r>
      <w:r w:rsidR="00776AC4" w:rsidRPr="00776AC4">
        <w:rPr>
          <w:rFonts w:ascii="Times New Roman" w:hAnsi="Times New Roman" w:cs="Times New Roman"/>
          <w:sz w:val="24"/>
          <w:szCs w:val="24"/>
        </w:rPr>
        <w:t>az emberi felhasználásra szánt gyógyszerek közösségi kódexéről szóló 2001/83/EK irányelv módosításáról</w:t>
      </w:r>
      <w:r w:rsidR="00776AC4">
        <w:rPr>
          <w:rFonts w:ascii="Times New Roman" w:hAnsi="Times New Roman" w:cs="Times New Roman"/>
          <w:sz w:val="24"/>
          <w:szCs w:val="24"/>
        </w:rPr>
        <w:t xml:space="preserve"> szóló </w:t>
      </w:r>
      <w:r w:rsidR="00776AC4" w:rsidRPr="00776AC4">
        <w:rPr>
          <w:rFonts w:ascii="Times New Roman" w:hAnsi="Times New Roman" w:cs="Times New Roman"/>
          <w:sz w:val="24"/>
          <w:szCs w:val="24"/>
        </w:rPr>
        <w:t>2004/27/EK irányelv</w:t>
      </w:r>
      <w:r w:rsidRPr="00265EA9">
        <w:rPr>
          <w:rFonts w:ascii="Times New Roman" w:hAnsi="Times New Roman" w:cs="Times New Roman"/>
          <w:sz w:val="24"/>
          <w:szCs w:val="24"/>
        </w:rPr>
        <w:t xml:space="preserve"> </w:t>
      </w:r>
      <w:r w:rsidR="00776AC4">
        <w:rPr>
          <w:rFonts w:ascii="Times New Roman" w:hAnsi="Times New Roman" w:cs="Times New Roman"/>
          <w:sz w:val="24"/>
          <w:szCs w:val="24"/>
        </w:rPr>
        <w:t>(14) preambulum</w:t>
      </w:r>
      <w:r w:rsidRPr="00265EA9">
        <w:rPr>
          <w:rFonts w:ascii="Times New Roman" w:hAnsi="Times New Roman" w:cs="Times New Roman"/>
          <w:sz w:val="24"/>
          <w:szCs w:val="24"/>
        </w:rPr>
        <w:t xml:space="preserve">bekezdése a következő </w:t>
      </w:r>
      <w:r w:rsidR="00776AC4">
        <w:rPr>
          <w:rFonts w:ascii="Times New Roman" w:hAnsi="Times New Roman" w:cs="Times New Roman"/>
          <w:sz w:val="24"/>
          <w:szCs w:val="24"/>
        </w:rPr>
        <w:t>indokolást</w:t>
      </w:r>
      <w:r w:rsidRPr="00265EA9">
        <w:rPr>
          <w:rFonts w:ascii="Times New Roman" w:hAnsi="Times New Roman" w:cs="Times New Roman"/>
          <w:sz w:val="24"/>
          <w:szCs w:val="24"/>
        </w:rPr>
        <w:t xml:space="preserve"> </w:t>
      </w:r>
      <w:r w:rsidR="00776AC4">
        <w:rPr>
          <w:rFonts w:ascii="Times New Roman" w:hAnsi="Times New Roman" w:cs="Times New Roman"/>
          <w:sz w:val="24"/>
          <w:szCs w:val="24"/>
        </w:rPr>
        <w:t>fűzte a kivételhez kapcsolódóan:</w:t>
      </w:r>
      <w:r w:rsidRPr="00265EA9">
        <w:rPr>
          <w:rFonts w:ascii="Times New Roman" w:hAnsi="Times New Roman" w:cs="Times New Roman"/>
          <w:sz w:val="24"/>
          <w:szCs w:val="24"/>
        </w:rPr>
        <w:t xml:space="preserve"> „</w:t>
      </w:r>
      <w:r w:rsidRPr="00265EA9">
        <w:rPr>
          <w:rFonts w:ascii="Times New Roman" w:hAnsi="Times New Roman" w:cs="Times New Roman"/>
          <w:i/>
          <w:iCs/>
          <w:sz w:val="24"/>
          <w:szCs w:val="24"/>
        </w:rPr>
        <w:t>Mivel a generikus gyógyszerek teszik ki a gyógyszerpiac jelentős részét, a közösségi piacra jutásukat meg kell könnyíteni a szerzett tapasztalatok alapján.”</w:t>
      </w:r>
    </w:p>
    <w:p w14:paraId="78945C5B" w14:textId="77777777" w:rsidR="00241345" w:rsidRPr="00265EA9" w:rsidRDefault="00241345" w:rsidP="00FE3DFF">
      <w:pPr>
        <w:spacing w:after="0"/>
        <w:jc w:val="both"/>
        <w:rPr>
          <w:rFonts w:ascii="Times New Roman" w:hAnsi="Times New Roman" w:cs="Times New Roman"/>
          <w:sz w:val="24"/>
          <w:szCs w:val="24"/>
        </w:rPr>
      </w:pPr>
    </w:p>
    <w:p w14:paraId="56FADA53" w14:textId="6B00C980" w:rsidR="00920F6F" w:rsidRDefault="00920F6F" w:rsidP="00FE3DFF">
      <w:pPr>
        <w:spacing w:after="0"/>
        <w:jc w:val="both"/>
        <w:rPr>
          <w:rFonts w:ascii="Times New Roman" w:hAnsi="Times New Roman" w:cs="Times New Roman"/>
          <w:sz w:val="24"/>
          <w:szCs w:val="24"/>
        </w:rPr>
      </w:pPr>
      <w:r w:rsidRPr="00C639B4">
        <w:rPr>
          <w:rFonts w:ascii="Times New Roman" w:hAnsi="Times New Roman" w:cs="Times New Roman"/>
          <w:b/>
          <w:sz w:val="24"/>
          <w:szCs w:val="24"/>
        </w:rPr>
        <w:t>Az irányelv</w:t>
      </w:r>
      <w:r w:rsidR="00861DC7">
        <w:rPr>
          <w:rFonts w:ascii="Times New Roman" w:hAnsi="Times New Roman" w:cs="Times New Roman"/>
          <w:b/>
          <w:sz w:val="24"/>
          <w:szCs w:val="24"/>
        </w:rPr>
        <w:t>ben rögzített</w:t>
      </w:r>
      <w:r w:rsidRPr="00C639B4">
        <w:rPr>
          <w:rFonts w:ascii="Times New Roman" w:hAnsi="Times New Roman" w:cs="Times New Roman"/>
          <w:b/>
          <w:sz w:val="24"/>
          <w:szCs w:val="24"/>
        </w:rPr>
        <w:t xml:space="preserve"> Bolar kivétel tagállami implementációjára vonatkozó általános megállapítások</w:t>
      </w:r>
      <w:r>
        <w:rPr>
          <w:rFonts w:ascii="Times New Roman" w:hAnsi="Times New Roman" w:cs="Times New Roman"/>
          <w:sz w:val="24"/>
          <w:szCs w:val="24"/>
        </w:rPr>
        <w:t>:</w:t>
      </w:r>
    </w:p>
    <w:p w14:paraId="0F1C0181" w14:textId="77777777" w:rsidR="00920F6F" w:rsidRDefault="00920F6F" w:rsidP="00FE3DFF">
      <w:pPr>
        <w:spacing w:after="0"/>
        <w:jc w:val="both"/>
        <w:rPr>
          <w:rFonts w:ascii="Times New Roman" w:hAnsi="Times New Roman" w:cs="Times New Roman"/>
          <w:sz w:val="24"/>
          <w:szCs w:val="24"/>
        </w:rPr>
      </w:pPr>
    </w:p>
    <w:p w14:paraId="6CADBF2E" w14:textId="6ECB4937" w:rsidR="00857244" w:rsidRPr="00CD5481" w:rsidRDefault="00CD7D5F" w:rsidP="00FE3DFF">
      <w:pPr>
        <w:pStyle w:val="Listaszerbekezds"/>
        <w:numPr>
          <w:ilvl w:val="0"/>
          <w:numId w:val="28"/>
        </w:numPr>
        <w:spacing w:after="0"/>
        <w:jc w:val="both"/>
        <w:rPr>
          <w:rFonts w:ascii="Times New Roman" w:hAnsi="Times New Roman" w:cs="Times New Roman"/>
          <w:sz w:val="24"/>
          <w:szCs w:val="24"/>
        </w:rPr>
      </w:pPr>
      <w:r w:rsidRPr="00CD5481">
        <w:rPr>
          <w:rFonts w:ascii="Times New Roman" w:hAnsi="Times New Roman" w:cs="Times New Roman"/>
          <w:sz w:val="24"/>
          <w:szCs w:val="24"/>
        </w:rPr>
        <w:t xml:space="preserve">Az </w:t>
      </w:r>
      <w:r w:rsidR="00776AC4" w:rsidRPr="00CD5481">
        <w:rPr>
          <w:rFonts w:ascii="Times New Roman" w:hAnsi="Times New Roman" w:cs="Times New Roman"/>
          <w:sz w:val="24"/>
          <w:szCs w:val="24"/>
        </w:rPr>
        <w:t>2001/83/EK irányelv</w:t>
      </w:r>
      <w:r w:rsidR="00861DC7">
        <w:rPr>
          <w:rFonts w:ascii="Times New Roman" w:hAnsi="Times New Roman" w:cs="Times New Roman"/>
          <w:sz w:val="24"/>
          <w:szCs w:val="24"/>
        </w:rPr>
        <w:t xml:space="preserve"> szerinti</w:t>
      </w:r>
      <w:r w:rsidR="00772F48">
        <w:rPr>
          <w:rFonts w:ascii="Times New Roman" w:hAnsi="Times New Roman" w:cs="Times New Roman"/>
          <w:sz w:val="24"/>
          <w:szCs w:val="24"/>
        </w:rPr>
        <w:t xml:space="preserve"> </w:t>
      </w:r>
      <w:r w:rsidR="00776AC4" w:rsidRPr="00CD5481">
        <w:rPr>
          <w:rFonts w:ascii="Times New Roman" w:hAnsi="Times New Roman" w:cs="Times New Roman"/>
          <w:sz w:val="24"/>
          <w:szCs w:val="24"/>
        </w:rPr>
        <w:t>Bolar kivétel megfogalmazása</w:t>
      </w:r>
      <w:r w:rsidR="00120D65">
        <w:rPr>
          <w:rFonts w:ascii="Times New Roman" w:hAnsi="Times New Roman" w:cs="Times New Roman"/>
          <w:sz w:val="24"/>
          <w:szCs w:val="24"/>
        </w:rPr>
        <w:t xml:space="preserve"> </w:t>
      </w:r>
      <w:r w:rsidR="00C0234F" w:rsidRPr="00CD5481">
        <w:rPr>
          <w:rFonts w:ascii="Times New Roman" w:hAnsi="Times New Roman" w:cs="Times New Roman"/>
          <w:sz w:val="24"/>
          <w:szCs w:val="24"/>
        </w:rPr>
        <w:t>(„</w:t>
      </w:r>
      <w:r w:rsidR="00C0234F" w:rsidRPr="00CD5481">
        <w:rPr>
          <w:rFonts w:ascii="Times New Roman" w:hAnsi="Times New Roman" w:cs="Times New Roman"/>
          <w:i/>
          <w:sz w:val="24"/>
          <w:szCs w:val="24"/>
        </w:rPr>
        <w:t>szükséges tanulmányok és vizsgálatok</w:t>
      </w:r>
      <w:r w:rsidR="00C0234F" w:rsidRPr="008E3AFF">
        <w:rPr>
          <w:rFonts w:ascii="Times New Roman" w:hAnsi="Times New Roman" w:cs="Times New Roman"/>
          <w:sz w:val="24"/>
          <w:szCs w:val="24"/>
        </w:rPr>
        <w:t>”,</w:t>
      </w:r>
      <w:r w:rsidRPr="008E3AFF">
        <w:rPr>
          <w:rFonts w:ascii="Times New Roman" w:hAnsi="Times New Roman" w:cs="Times New Roman"/>
          <w:sz w:val="24"/>
          <w:szCs w:val="24"/>
        </w:rPr>
        <w:t xml:space="preserve"> „</w:t>
      </w:r>
      <w:r w:rsidRPr="008E3AFF">
        <w:rPr>
          <w:rFonts w:ascii="Times New Roman" w:hAnsi="Times New Roman" w:cs="Times New Roman"/>
          <w:i/>
          <w:iCs/>
          <w:sz w:val="24"/>
          <w:szCs w:val="24"/>
        </w:rPr>
        <w:t>az azokból adódó gyakorlati követelmények végrehajtása</w:t>
      </w:r>
      <w:r w:rsidRPr="008E3AFF">
        <w:rPr>
          <w:rFonts w:ascii="Times New Roman" w:hAnsi="Times New Roman" w:cs="Times New Roman"/>
          <w:sz w:val="24"/>
          <w:szCs w:val="24"/>
        </w:rPr>
        <w:t>”</w:t>
      </w:r>
      <w:r w:rsidR="00C0234F" w:rsidRPr="008E3AFF">
        <w:rPr>
          <w:rFonts w:ascii="Times New Roman" w:hAnsi="Times New Roman" w:cs="Times New Roman"/>
          <w:sz w:val="24"/>
          <w:szCs w:val="24"/>
        </w:rPr>
        <w:t>)</w:t>
      </w:r>
      <w:r w:rsidRPr="008E3AFF">
        <w:rPr>
          <w:rFonts w:ascii="Times New Roman" w:hAnsi="Times New Roman" w:cs="Times New Roman"/>
          <w:sz w:val="24"/>
          <w:szCs w:val="24"/>
        </w:rPr>
        <w:t xml:space="preserve"> értelmezési problémát</w:t>
      </w:r>
      <w:r w:rsidR="00C0234F" w:rsidRPr="008E3AFF">
        <w:rPr>
          <w:rFonts w:ascii="Times New Roman" w:hAnsi="Times New Roman" w:cs="Times New Roman"/>
          <w:sz w:val="24"/>
          <w:szCs w:val="24"/>
        </w:rPr>
        <w:t xml:space="preserve"> okozhat</w:t>
      </w:r>
      <w:r w:rsidRPr="0060605D">
        <w:rPr>
          <w:rFonts w:ascii="Times New Roman" w:hAnsi="Times New Roman" w:cs="Times New Roman"/>
          <w:sz w:val="24"/>
          <w:szCs w:val="24"/>
        </w:rPr>
        <w:t>,</w:t>
      </w:r>
      <w:r w:rsidR="002B1C5A">
        <w:rPr>
          <w:rStyle w:val="Lbjegyzet-hivatkozs"/>
          <w:rFonts w:ascii="Times New Roman" w:hAnsi="Times New Roman" w:cs="Times New Roman"/>
          <w:sz w:val="24"/>
          <w:szCs w:val="24"/>
        </w:rPr>
        <w:footnoteReference w:id="12"/>
      </w:r>
      <w:r w:rsidRPr="00CD5481">
        <w:rPr>
          <w:rFonts w:ascii="Times New Roman" w:hAnsi="Times New Roman" w:cs="Times New Roman"/>
          <w:sz w:val="24"/>
          <w:szCs w:val="24"/>
        </w:rPr>
        <w:t xml:space="preserve"> mivel megfogalmazása igen általános, így teret ad eltérő tagállami értelmezéseknek.</w:t>
      </w:r>
      <w:r w:rsidR="00EE2C81" w:rsidRPr="008E3AFF">
        <w:rPr>
          <w:rFonts w:ascii="Times New Roman" w:hAnsi="Times New Roman" w:cs="Times New Roman"/>
          <w:sz w:val="24"/>
          <w:szCs w:val="24"/>
        </w:rPr>
        <w:t xml:space="preserve"> </w:t>
      </w:r>
      <w:r w:rsidR="0091637B" w:rsidRPr="008E3AFF">
        <w:rPr>
          <w:rFonts w:ascii="Times New Roman" w:hAnsi="Times New Roman" w:cs="Times New Roman"/>
          <w:b/>
          <w:sz w:val="24"/>
          <w:szCs w:val="24"/>
        </w:rPr>
        <w:t xml:space="preserve">Ebből kifolyólag egyes </w:t>
      </w:r>
      <w:r w:rsidR="00EE19F4" w:rsidRPr="008E3AFF">
        <w:rPr>
          <w:rFonts w:ascii="Times New Roman" w:hAnsi="Times New Roman" w:cs="Times New Roman"/>
          <w:b/>
          <w:sz w:val="24"/>
          <w:szCs w:val="24"/>
        </w:rPr>
        <w:t>tagállamok nemzeti szabályozásukban szűk</w:t>
      </w:r>
      <w:r w:rsidR="00E1472E" w:rsidRPr="0060605D">
        <w:rPr>
          <w:rFonts w:ascii="Times New Roman" w:hAnsi="Times New Roman" w:cs="Times New Roman"/>
          <w:b/>
          <w:sz w:val="24"/>
          <w:szCs w:val="24"/>
        </w:rPr>
        <w:t>ebben, míg más tagállamok tágabban határozzák meg a Bolar kivétel alkalmazási körét</w:t>
      </w:r>
      <w:r w:rsidR="0003089F" w:rsidRPr="0060605D">
        <w:rPr>
          <w:rFonts w:ascii="Times New Roman" w:hAnsi="Times New Roman" w:cs="Times New Roman"/>
          <w:sz w:val="24"/>
          <w:szCs w:val="24"/>
        </w:rPr>
        <w:t xml:space="preserve"> (személyi és tárgyi hatályát)</w:t>
      </w:r>
      <w:r w:rsidR="00B64484" w:rsidRPr="0060605D">
        <w:rPr>
          <w:rFonts w:ascii="Times New Roman" w:hAnsi="Times New Roman" w:cs="Times New Roman"/>
          <w:sz w:val="24"/>
          <w:szCs w:val="24"/>
        </w:rPr>
        <w:t>.</w:t>
      </w:r>
      <w:r w:rsidR="00CC2E31" w:rsidRPr="0060605D">
        <w:rPr>
          <w:rFonts w:ascii="Times New Roman" w:hAnsi="Times New Roman" w:cs="Times New Roman"/>
          <w:sz w:val="24"/>
          <w:szCs w:val="24"/>
        </w:rPr>
        <w:t xml:space="preserve"> </w:t>
      </w:r>
    </w:p>
    <w:p w14:paraId="47E39B6D" w14:textId="043982AA" w:rsidR="00920F6F" w:rsidRPr="00CD5481" w:rsidRDefault="00857244" w:rsidP="00FE3DFF">
      <w:pPr>
        <w:pStyle w:val="Listaszerbekezds"/>
        <w:numPr>
          <w:ilvl w:val="0"/>
          <w:numId w:val="28"/>
        </w:numPr>
        <w:spacing w:after="0"/>
        <w:jc w:val="both"/>
        <w:rPr>
          <w:rFonts w:ascii="Times New Roman" w:hAnsi="Times New Roman" w:cs="Times New Roman"/>
          <w:sz w:val="24"/>
          <w:szCs w:val="24"/>
        </w:rPr>
      </w:pPr>
      <w:r w:rsidRPr="008E3AFF">
        <w:rPr>
          <w:rFonts w:ascii="Times New Roman" w:hAnsi="Times New Roman" w:cs="Times New Roman"/>
          <w:sz w:val="24"/>
          <w:szCs w:val="24"/>
        </w:rPr>
        <w:t>Az első és legnagyobb különbség a Bolar kivétel</w:t>
      </w:r>
      <w:r w:rsidR="00920F6F" w:rsidRPr="008E3AFF">
        <w:rPr>
          <w:rFonts w:ascii="Times New Roman" w:hAnsi="Times New Roman" w:cs="Times New Roman"/>
          <w:sz w:val="24"/>
          <w:szCs w:val="24"/>
        </w:rPr>
        <w:t xml:space="preserve"> </w:t>
      </w:r>
      <w:r w:rsidR="00920F6F" w:rsidRPr="008E3AFF">
        <w:rPr>
          <w:rFonts w:ascii="Times New Roman" w:hAnsi="Times New Roman" w:cs="Times New Roman"/>
          <w:b/>
          <w:sz w:val="24"/>
          <w:szCs w:val="24"/>
        </w:rPr>
        <w:t>alanyi körét</w:t>
      </w:r>
      <w:r w:rsidR="00920F6F" w:rsidRPr="008E3AFF">
        <w:rPr>
          <w:rFonts w:ascii="Times New Roman" w:hAnsi="Times New Roman" w:cs="Times New Roman"/>
          <w:sz w:val="24"/>
          <w:szCs w:val="24"/>
        </w:rPr>
        <w:t xml:space="preserve"> </w:t>
      </w:r>
      <w:r w:rsidR="00920F6F" w:rsidRPr="0060605D">
        <w:rPr>
          <w:rFonts w:ascii="Times New Roman" w:hAnsi="Times New Roman" w:cs="Times New Roman"/>
          <w:sz w:val="24"/>
          <w:szCs w:val="24"/>
        </w:rPr>
        <w:t>érinti</w:t>
      </w:r>
      <w:r w:rsidRPr="0060605D">
        <w:rPr>
          <w:rFonts w:ascii="Times New Roman" w:hAnsi="Times New Roman" w:cs="Times New Roman"/>
          <w:sz w:val="24"/>
          <w:szCs w:val="24"/>
        </w:rPr>
        <w:t xml:space="preserve">. Vannak országok (Egyesült Királyság, Belgium, Ciprus, Írország, Hollandia és Svédország), ahol a </w:t>
      </w:r>
      <w:r w:rsidRPr="0060605D">
        <w:rPr>
          <w:rFonts w:ascii="Times New Roman" w:hAnsi="Times New Roman" w:cs="Times New Roman"/>
          <w:sz w:val="24"/>
          <w:szCs w:val="24"/>
        </w:rPr>
        <w:lastRenderedPageBreak/>
        <w:t>mentesség a generikus gyógyszerek és biohasonló termékek forgalombahozatali engedélyével kapcsolatos tevékenységekre korlátozódik. Ezzel szemben vannak országok – és ezek vannak többségben – ahol a gyógyszergyártók szélesebb körben mentesülnek, itt ugyanis nincs különbségtétel, és mind a generikus vagy biohasonló, mind az originális cégek alanyai a Bolar kivételnek (például ide tartoznak: Ausztria, Bulgária, Cseh Köztársaság, Dánia, Észtország, Finnország, Franciaország, Németország, Magyarország, Olaszország, Lettország, Litvánia, Luxemburg, Málta, Lengyelország, Portugália, Románia, Szlovákia, Szlovénia és</w:t>
      </w:r>
      <w:r w:rsidR="00920F6F" w:rsidRPr="0060605D">
        <w:rPr>
          <w:rFonts w:ascii="Times New Roman" w:hAnsi="Times New Roman" w:cs="Times New Roman"/>
          <w:sz w:val="24"/>
          <w:szCs w:val="24"/>
        </w:rPr>
        <w:t xml:space="preserve"> Spanyolország, valamint az EGT</w:t>
      </w:r>
      <w:r w:rsidRPr="0060605D">
        <w:rPr>
          <w:rFonts w:ascii="Times New Roman" w:hAnsi="Times New Roman" w:cs="Times New Roman"/>
          <w:sz w:val="24"/>
          <w:szCs w:val="24"/>
        </w:rPr>
        <w:t xml:space="preserve"> államok és Svájc.</w:t>
      </w:r>
      <w:r w:rsidR="00920F6F" w:rsidRPr="0060605D">
        <w:rPr>
          <w:rFonts w:ascii="Times New Roman" w:hAnsi="Times New Roman" w:cs="Times New Roman"/>
          <w:sz w:val="24"/>
          <w:szCs w:val="24"/>
        </w:rPr>
        <w:t>)</w:t>
      </w:r>
      <w:r w:rsidR="004C1344">
        <w:rPr>
          <w:rStyle w:val="Lbjegyzet-hivatkozs"/>
          <w:rFonts w:ascii="Times New Roman" w:hAnsi="Times New Roman" w:cs="Times New Roman"/>
          <w:sz w:val="24"/>
          <w:szCs w:val="24"/>
        </w:rPr>
        <w:footnoteReference w:id="13"/>
      </w:r>
    </w:p>
    <w:p w14:paraId="608C3F12" w14:textId="3396C854" w:rsidR="00857244" w:rsidRPr="00C639B4" w:rsidRDefault="00861DC7" w:rsidP="00FE3DFF">
      <w:pPr>
        <w:pStyle w:val="Listaszerbekezds"/>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A m</w:t>
      </w:r>
      <w:r w:rsidR="00857244" w:rsidRPr="00C639B4">
        <w:rPr>
          <w:rFonts w:ascii="Times New Roman" w:hAnsi="Times New Roman" w:cs="Times New Roman"/>
          <w:sz w:val="24"/>
          <w:szCs w:val="24"/>
        </w:rPr>
        <w:t xml:space="preserve">ásik jelentős különbség a </w:t>
      </w:r>
      <w:r w:rsidR="00857244" w:rsidRPr="00C639B4">
        <w:rPr>
          <w:rFonts w:ascii="Times New Roman" w:hAnsi="Times New Roman" w:cs="Times New Roman"/>
          <w:b/>
          <w:sz w:val="24"/>
          <w:szCs w:val="24"/>
        </w:rPr>
        <w:t>mentesség alá eső tevékenységek célhoz kötöttség</w:t>
      </w:r>
      <w:r>
        <w:rPr>
          <w:rFonts w:ascii="Times New Roman" w:hAnsi="Times New Roman" w:cs="Times New Roman"/>
          <w:b/>
          <w:sz w:val="24"/>
          <w:szCs w:val="24"/>
        </w:rPr>
        <w:t>e</w:t>
      </w:r>
      <w:r w:rsidR="00857244" w:rsidRPr="00C639B4">
        <w:rPr>
          <w:rFonts w:ascii="Times New Roman" w:hAnsi="Times New Roman" w:cs="Times New Roman"/>
          <w:b/>
          <w:sz w:val="24"/>
          <w:szCs w:val="24"/>
        </w:rPr>
        <w:t xml:space="preserve"> </w:t>
      </w:r>
      <w:r w:rsidR="00857244" w:rsidRPr="00466471">
        <w:rPr>
          <w:rFonts w:ascii="Times New Roman" w:hAnsi="Times New Roman" w:cs="Times New Roman"/>
          <w:bCs/>
          <w:sz w:val="24"/>
          <w:szCs w:val="24"/>
        </w:rPr>
        <w:t>tekintetében</w:t>
      </w:r>
      <w:r w:rsidR="00857244" w:rsidRPr="00C639B4">
        <w:rPr>
          <w:rFonts w:ascii="Times New Roman" w:hAnsi="Times New Roman" w:cs="Times New Roman"/>
          <w:sz w:val="24"/>
          <w:szCs w:val="24"/>
        </w:rPr>
        <w:t xml:space="preserve"> jelentkezik: számos európai ország (például Ausztria, Németország, Dánia, Olaszország, Németország, Spanyolország) esetében mind az EU-n belül, mind az Európai Gazdasági Térségen (EGT) kívül megszerzett forgalomba hozatali engedélyekre mentességet élvez</w:t>
      </w:r>
      <w:r w:rsidR="0060605D">
        <w:rPr>
          <w:rFonts w:ascii="Times New Roman" w:hAnsi="Times New Roman" w:cs="Times New Roman"/>
          <w:sz w:val="24"/>
          <w:szCs w:val="24"/>
        </w:rPr>
        <w:t xml:space="preserve"> a</w:t>
      </w:r>
      <w:r w:rsidR="009F28AA">
        <w:rPr>
          <w:rFonts w:ascii="Times New Roman" w:hAnsi="Times New Roman" w:cs="Times New Roman"/>
          <w:sz w:val="24"/>
          <w:szCs w:val="24"/>
        </w:rPr>
        <w:t xml:space="preserve"> kivétel jogosultja</w:t>
      </w:r>
      <w:r w:rsidR="00857244" w:rsidRPr="00C639B4">
        <w:rPr>
          <w:rFonts w:ascii="Times New Roman" w:hAnsi="Times New Roman" w:cs="Times New Roman"/>
          <w:sz w:val="24"/>
          <w:szCs w:val="24"/>
        </w:rPr>
        <w:t xml:space="preserve">. Más országokban ez nincs </w:t>
      </w:r>
      <w:r>
        <w:rPr>
          <w:rFonts w:ascii="Times New Roman" w:hAnsi="Times New Roman" w:cs="Times New Roman"/>
          <w:sz w:val="24"/>
          <w:szCs w:val="24"/>
        </w:rPr>
        <w:t>jogszabályban rögzítve</w:t>
      </w:r>
      <w:r w:rsidR="00857244" w:rsidRPr="00C639B4">
        <w:rPr>
          <w:rFonts w:ascii="Times New Roman" w:hAnsi="Times New Roman" w:cs="Times New Roman"/>
          <w:sz w:val="24"/>
          <w:szCs w:val="24"/>
        </w:rPr>
        <w:t xml:space="preserve">, így bírói értelmezés kérdése lehet </w:t>
      </w:r>
      <w:r>
        <w:rPr>
          <w:rFonts w:ascii="Times New Roman" w:hAnsi="Times New Roman" w:cs="Times New Roman"/>
          <w:sz w:val="24"/>
          <w:szCs w:val="24"/>
        </w:rPr>
        <w:t xml:space="preserve">az </w:t>
      </w:r>
      <w:r w:rsidR="00857244" w:rsidRPr="00C639B4">
        <w:rPr>
          <w:rFonts w:ascii="Times New Roman" w:hAnsi="Times New Roman" w:cs="Times New Roman"/>
          <w:sz w:val="24"/>
          <w:szCs w:val="24"/>
        </w:rPr>
        <w:t>egy</w:t>
      </w:r>
      <w:r>
        <w:rPr>
          <w:rFonts w:ascii="Times New Roman" w:hAnsi="Times New Roman" w:cs="Times New Roman"/>
          <w:sz w:val="24"/>
          <w:szCs w:val="24"/>
        </w:rPr>
        <w:t>es</w:t>
      </w:r>
      <w:r w:rsidR="00857244" w:rsidRPr="00C639B4">
        <w:rPr>
          <w:rFonts w:ascii="Times New Roman" w:hAnsi="Times New Roman" w:cs="Times New Roman"/>
          <w:sz w:val="24"/>
          <w:szCs w:val="24"/>
        </w:rPr>
        <w:t xml:space="preserve"> konkrét ügy</w:t>
      </w:r>
      <w:r>
        <w:rPr>
          <w:rFonts w:ascii="Times New Roman" w:hAnsi="Times New Roman" w:cs="Times New Roman"/>
          <w:sz w:val="24"/>
          <w:szCs w:val="24"/>
        </w:rPr>
        <w:t>ek</w:t>
      </w:r>
      <w:r w:rsidR="00857244" w:rsidRPr="00C639B4">
        <w:rPr>
          <w:rFonts w:ascii="Times New Roman" w:hAnsi="Times New Roman" w:cs="Times New Roman"/>
          <w:sz w:val="24"/>
          <w:szCs w:val="24"/>
        </w:rPr>
        <w:t>ben.</w:t>
      </w:r>
    </w:p>
    <w:p w14:paraId="62D6FCD1" w14:textId="77777777" w:rsidR="00857244" w:rsidRDefault="00857244" w:rsidP="00FE3DFF">
      <w:pPr>
        <w:spacing w:after="0"/>
        <w:jc w:val="both"/>
        <w:rPr>
          <w:rFonts w:ascii="Times New Roman" w:hAnsi="Times New Roman" w:cs="Times New Roman"/>
          <w:sz w:val="24"/>
          <w:szCs w:val="24"/>
        </w:rPr>
      </w:pPr>
    </w:p>
    <w:p w14:paraId="5C2DB7C3" w14:textId="7CBD758D" w:rsidR="0082770B" w:rsidRDefault="00AE3CA8" w:rsidP="00FE3DFF">
      <w:pPr>
        <w:spacing w:after="0"/>
        <w:jc w:val="both"/>
        <w:rPr>
          <w:rFonts w:ascii="Times New Roman" w:hAnsi="Times New Roman" w:cs="Times New Roman"/>
          <w:b/>
          <w:sz w:val="24"/>
          <w:szCs w:val="24"/>
        </w:rPr>
      </w:pPr>
      <w:r w:rsidRPr="00C639B4">
        <w:rPr>
          <w:rFonts w:ascii="Times New Roman" w:hAnsi="Times New Roman" w:cs="Times New Roman"/>
          <w:b/>
          <w:sz w:val="24"/>
          <w:szCs w:val="24"/>
        </w:rPr>
        <w:t>Az irányelvi Bolar kivétel implementációja</w:t>
      </w:r>
      <w:r w:rsidR="00920F6F" w:rsidRPr="00920F6F">
        <w:rPr>
          <w:rFonts w:ascii="Times New Roman" w:hAnsi="Times New Roman" w:cs="Times New Roman"/>
          <w:b/>
          <w:sz w:val="24"/>
          <w:szCs w:val="24"/>
        </w:rPr>
        <w:t xml:space="preserve"> </w:t>
      </w:r>
      <w:r w:rsidR="00920F6F">
        <w:rPr>
          <w:rFonts w:ascii="Times New Roman" w:hAnsi="Times New Roman" w:cs="Times New Roman"/>
          <w:b/>
          <w:sz w:val="24"/>
          <w:szCs w:val="24"/>
        </w:rPr>
        <w:t>egyes</w:t>
      </w:r>
      <w:r w:rsidR="0082770B" w:rsidRPr="009F28AA">
        <w:rPr>
          <w:rFonts w:ascii="Times New Roman" w:hAnsi="Times New Roman" w:cs="Times New Roman"/>
          <w:b/>
          <w:sz w:val="24"/>
          <w:szCs w:val="24"/>
        </w:rPr>
        <w:t xml:space="preserve"> </w:t>
      </w:r>
      <w:r w:rsidR="00384607">
        <w:rPr>
          <w:rFonts w:ascii="Times New Roman" w:hAnsi="Times New Roman" w:cs="Times New Roman"/>
          <w:b/>
          <w:sz w:val="24"/>
          <w:szCs w:val="24"/>
        </w:rPr>
        <w:t>tag</w:t>
      </w:r>
      <w:r w:rsidR="0082770B" w:rsidRPr="009F28AA">
        <w:rPr>
          <w:rFonts w:ascii="Times New Roman" w:hAnsi="Times New Roman" w:cs="Times New Roman"/>
          <w:b/>
          <w:sz w:val="24"/>
          <w:szCs w:val="24"/>
        </w:rPr>
        <w:t>államokban</w:t>
      </w:r>
      <w:r w:rsidR="0082770B">
        <w:rPr>
          <w:rFonts w:ascii="Times New Roman" w:hAnsi="Times New Roman" w:cs="Times New Roman"/>
          <w:b/>
          <w:sz w:val="24"/>
          <w:szCs w:val="24"/>
        </w:rPr>
        <w:t>:</w:t>
      </w:r>
    </w:p>
    <w:p w14:paraId="65A74981" w14:textId="77777777" w:rsidR="0082770B" w:rsidRDefault="0082770B" w:rsidP="00FE3DFF">
      <w:pPr>
        <w:spacing w:after="0"/>
        <w:jc w:val="both"/>
        <w:rPr>
          <w:rFonts w:ascii="Times New Roman" w:hAnsi="Times New Roman" w:cs="Times New Roman"/>
          <w:b/>
          <w:sz w:val="24"/>
          <w:szCs w:val="24"/>
        </w:rPr>
      </w:pPr>
    </w:p>
    <w:p w14:paraId="42F3CC63" w14:textId="74C8DE9E" w:rsidR="0082770B" w:rsidRDefault="0082770B" w:rsidP="009B2064">
      <w:pPr>
        <w:pStyle w:val="Listaszerbekezds"/>
        <w:numPr>
          <w:ilvl w:val="0"/>
          <w:numId w:val="24"/>
        </w:numPr>
        <w:spacing w:after="0"/>
        <w:jc w:val="both"/>
        <w:rPr>
          <w:rFonts w:ascii="Times New Roman" w:hAnsi="Times New Roman" w:cs="Times New Roman"/>
          <w:sz w:val="24"/>
          <w:szCs w:val="24"/>
        </w:rPr>
      </w:pPr>
      <w:r>
        <w:rPr>
          <w:rFonts w:ascii="Times New Roman" w:hAnsi="Times New Roman" w:cs="Times New Roman"/>
          <w:b/>
          <w:sz w:val="24"/>
          <w:szCs w:val="24"/>
        </w:rPr>
        <w:t>Németország</w:t>
      </w:r>
      <w:r w:rsidRPr="009F28AA">
        <w:rPr>
          <w:rFonts w:ascii="Times New Roman" w:hAnsi="Times New Roman" w:cs="Times New Roman"/>
          <w:sz w:val="24"/>
          <w:szCs w:val="24"/>
        </w:rPr>
        <w:t xml:space="preserve">: </w:t>
      </w:r>
      <w:r w:rsidR="0060605D">
        <w:rPr>
          <w:rFonts w:ascii="Times New Roman" w:hAnsi="Times New Roman" w:cs="Times New Roman"/>
          <w:sz w:val="24"/>
          <w:szCs w:val="24"/>
        </w:rPr>
        <w:t>a</w:t>
      </w:r>
      <w:r w:rsidR="0060605D" w:rsidRPr="003E5962">
        <w:rPr>
          <w:rFonts w:ascii="Times New Roman" w:hAnsi="Times New Roman" w:cs="Times New Roman"/>
          <w:sz w:val="24"/>
          <w:szCs w:val="24"/>
        </w:rPr>
        <w:t xml:space="preserve"> </w:t>
      </w:r>
      <w:r w:rsidR="003E5962" w:rsidRPr="003E5962">
        <w:rPr>
          <w:rFonts w:ascii="Times New Roman" w:hAnsi="Times New Roman" w:cs="Times New Roman"/>
          <w:sz w:val="24"/>
          <w:szCs w:val="24"/>
        </w:rPr>
        <w:t>német Bolar kivétel a</w:t>
      </w:r>
      <w:r w:rsidR="008E3AFF">
        <w:rPr>
          <w:rFonts w:ascii="Times New Roman" w:hAnsi="Times New Roman" w:cs="Times New Roman"/>
          <w:sz w:val="24"/>
          <w:szCs w:val="24"/>
        </w:rPr>
        <w:t xml:space="preserve"> </w:t>
      </w:r>
      <w:r w:rsidR="008E3AFF" w:rsidRPr="0018714B">
        <w:rPr>
          <w:rFonts w:ascii="Times New Roman" w:hAnsi="Times New Roman" w:cs="Times New Roman"/>
          <w:sz w:val="24"/>
          <w:szCs w:val="24"/>
        </w:rPr>
        <w:t>2001/83/EK</w:t>
      </w:r>
      <w:r w:rsidR="008E3AFF">
        <w:rPr>
          <w:rFonts w:ascii="Times New Roman" w:hAnsi="Times New Roman" w:cs="Times New Roman"/>
          <w:sz w:val="24"/>
          <w:szCs w:val="24"/>
        </w:rPr>
        <w:t xml:space="preserve"> </w:t>
      </w:r>
      <w:r w:rsidRPr="00C639B4">
        <w:rPr>
          <w:rFonts w:ascii="Times New Roman" w:hAnsi="Times New Roman" w:cs="Times New Roman"/>
          <w:sz w:val="24"/>
          <w:szCs w:val="24"/>
        </w:rPr>
        <w:t>irányelv által szabott kereteket a célhoz kötöttség tekintetében pontosítja, azzal, hogy rögzíti</w:t>
      </w:r>
      <w:r w:rsidR="003730EB" w:rsidRPr="00C639B4">
        <w:rPr>
          <w:rFonts w:ascii="Times New Roman" w:hAnsi="Times New Roman" w:cs="Times New Roman"/>
          <w:sz w:val="24"/>
          <w:szCs w:val="24"/>
        </w:rPr>
        <w:t xml:space="preserve">: a </w:t>
      </w:r>
      <w:r w:rsidRPr="00C639B4">
        <w:rPr>
          <w:rFonts w:ascii="Times New Roman" w:hAnsi="Times New Roman" w:cs="Times New Roman"/>
          <w:sz w:val="24"/>
          <w:szCs w:val="24"/>
        </w:rPr>
        <w:t>forgalomba</w:t>
      </w:r>
      <w:r w:rsidR="003730EB" w:rsidRPr="00C639B4">
        <w:rPr>
          <w:rFonts w:ascii="Times New Roman" w:hAnsi="Times New Roman" w:cs="Times New Roman"/>
          <w:sz w:val="24"/>
          <w:szCs w:val="24"/>
        </w:rPr>
        <w:t xml:space="preserve"> hozatali engedély lehet EU-s, EU-s </w:t>
      </w:r>
      <w:r w:rsidRPr="00C639B4">
        <w:rPr>
          <w:rFonts w:ascii="Times New Roman" w:hAnsi="Times New Roman" w:cs="Times New Roman"/>
          <w:sz w:val="24"/>
          <w:szCs w:val="24"/>
        </w:rPr>
        <w:t>tagállambeli nemzeti vagy</w:t>
      </w:r>
      <w:r w:rsidR="003730EB" w:rsidRPr="00C639B4">
        <w:rPr>
          <w:rFonts w:ascii="Times New Roman" w:hAnsi="Times New Roman" w:cs="Times New Roman"/>
          <w:sz w:val="24"/>
          <w:szCs w:val="24"/>
        </w:rPr>
        <w:t xml:space="preserve"> EU-n kívüli</w:t>
      </w:r>
      <w:r w:rsidRPr="00C639B4">
        <w:rPr>
          <w:rFonts w:ascii="Times New Roman" w:hAnsi="Times New Roman" w:cs="Times New Roman"/>
          <w:sz w:val="24"/>
          <w:szCs w:val="24"/>
        </w:rPr>
        <w:t xml:space="preserve"> egyaránt.</w:t>
      </w:r>
      <w:r w:rsidR="003730EB" w:rsidRPr="00C639B4">
        <w:rPr>
          <w:rStyle w:val="Lbjegyzet-hivatkozs"/>
          <w:rFonts w:ascii="Times New Roman" w:hAnsi="Times New Roman" w:cs="Times New Roman"/>
          <w:sz w:val="24"/>
          <w:szCs w:val="24"/>
        </w:rPr>
        <w:footnoteReference w:id="14"/>
      </w:r>
    </w:p>
    <w:p w14:paraId="68FC8408" w14:textId="59114391" w:rsidR="003730EB" w:rsidRDefault="003730EB" w:rsidP="009B2064">
      <w:pPr>
        <w:pStyle w:val="Listaszerbekezds"/>
        <w:numPr>
          <w:ilvl w:val="0"/>
          <w:numId w:val="24"/>
        </w:numPr>
        <w:spacing w:after="0"/>
        <w:jc w:val="both"/>
        <w:rPr>
          <w:rFonts w:ascii="Times New Roman" w:hAnsi="Times New Roman" w:cs="Times New Roman"/>
          <w:sz w:val="24"/>
          <w:szCs w:val="24"/>
        </w:rPr>
      </w:pPr>
      <w:r w:rsidRPr="009F28AA">
        <w:rPr>
          <w:rFonts w:ascii="Times New Roman" w:hAnsi="Times New Roman" w:cs="Times New Roman"/>
          <w:b/>
          <w:sz w:val="24"/>
          <w:szCs w:val="24"/>
        </w:rPr>
        <w:t>Egyesült Királyság</w:t>
      </w:r>
      <w:r>
        <w:rPr>
          <w:rFonts w:ascii="Times New Roman" w:hAnsi="Times New Roman" w:cs="Times New Roman"/>
          <w:sz w:val="24"/>
          <w:szCs w:val="24"/>
        </w:rPr>
        <w:t>:</w:t>
      </w:r>
      <w:r w:rsidRPr="003730EB">
        <w:rPr>
          <w:rFonts w:ascii="Arial" w:hAnsi="Arial" w:cs="Arial"/>
          <w:color w:val="000000"/>
          <w:sz w:val="20"/>
          <w:szCs w:val="20"/>
        </w:rPr>
        <w:t xml:space="preserve"> </w:t>
      </w:r>
      <w:r w:rsidR="0060605D">
        <w:rPr>
          <w:rFonts w:ascii="Times New Roman" w:hAnsi="Times New Roman" w:cs="Times New Roman"/>
          <w:sz w:val="24"/>
          <w:szCs w:val="24"/>
        </w:rPr>
        <w:t>a</w:t>
      </w:r>
      <w:r w:rsidR="0060605D" w:rsidRPr="003730EB">
        <w:rPr>
          <w:rFonts w:ascii="Times New Roman" w:hAnsi="Times New Roman" w:cs="Times New Roman"/>
          <w:sz w:val="24"/>
          <w:szCs w:val="24"/>
        </w:rPr>
        <w:t xml:space="preserve">z </w:t>
      </w:r>
      <w:r w:rsidRPr="003730EB">
        <w:rPr>
          <w:rFonts w:ascii="Times New Roman" w:hAnsi="Times New Roman" w:cs="Times New Roman"/>
          <w:sz w:val="24"/>
          <w:szCs w:val="24"/>
        </w:rPr>
        <w:t>Egyesült Királyságban a jogszab</w:t>
      </w:r>
      <w:r>
        <w:rPr>
          <w:rFonts w:ascii="Times New Roman" w:hAnsi="Times New Roman" w:cs="Times New Roman"/>
          <w:sz w:val="24"/>
          <w:szCs w:val="24"/>
        </w:rPr>
        <w:t>ály kifejezetten hivatkozik az i</w:t>
      </w:r>
      <w:r w:rsidRPr="003730EB">
        <w:rPr>
          <w:rFonts w:ascii="Times New Roman" w:hAnsi="Times New Roman" w:cs="Times New Roman"/>
          <w:sz w:val="24"/>
          <w:szCs w:val="24"/>
        </w:rPr>
        <w:t>rányelvre és annak érintett szabályaira. Ez a rendelkezés az Európai Unióból történő kiválást megel</w:t>
      </w:r>
      <w:r>
        <w:rPr>
          <w:rFonts w:ascii="Times New Roman" w:hAnsi="Times New Roman" w:cs="Times New Roman"/>
          <w:sz w:val="24"/>
          <w:szCs w:val="24"/>
        </w:rPr>
        <w:t>őzően, az i</w:t>
      </w:r>
      <w:r w:rsidRPr="003730EB">
        <w:rPr>
          <w:rFonts w:ascii="Times New Roman" w:hAnsi="Times New Roman" w:cs="Times New Roman"/>
          <w:sz w:val="24"/>
          <w:szCs w:val="24"/>
        </w:rPr>
        <w:t>rányelv figyelembevételével lépett hatályba.</w:t>
      </w:r>
      <w:r>
        <w:rPr>
          <w:rStyle w:val="Lbjegyzet-hivatkozs"/>
          <w:rFonts w:ascii="Times New Roman" w:hAnsi="Times New Roman" w:cs="Times New Roman"/>
          <w:sz w:val="24"/>
          <w:szCs w:val="24"/>
        </w:rPr>
        <w:footnoteReference w:id="15"/>
      </w:r>
    </w:p>
    <w:p w14:paraId="48EAF935" w14:textId="3F945760" w:rsidR="003E5962" w:rsidRDefault="003E5962" w:rsidP="009B2064">
      <w:pPr>
        <w:pStyle w:val="Listaszerbekezds"/>
        <w:numPr>
          <w:ilvl w:val="0"/>
          <w:numId w:val="24"/>
        </w:numPr>
        <w:spacing w:after="0"/>
        <w:jc w:val="both"/>
        <w:rPr>
          <w:rFonts w:ascii="Times New Roman" w:hAnsi="Times New Roman" w:cs="Times New Roman"/>
          <w:sz w:val="24"/>
          <w:szCs w:val="24"/>
        </w:rPr>
      </w:pPr>
      <w:r w:rsidRPr="009F28AA">
        <w:rPr>
          <w:rFonts w:ascii="Times New Roman" w:hAnsi="Times New Roman" w:cs="Times New Roman"/>
          <w:b/>
          <w:sz w:val="24"/>
          <w:szCs w:val="24"/>
        </w:rPr>
        <w:t>Franciaország</w:t>
      </w:r>
      <w:r>
        <w:rPr>
          <w:rFonts w:ascii="Times New Roman" w:hAnsi="Times New Roman" w:cs="Times New Roman"/>
          <w:sz w:val="24"/>
          <w:szCs w:val="24"/>
        </w:rPr>
        <w:t xml:space="preserve">: </w:t>
      </w:r>
      <w:r w:rsidR="0060605D">
        <w:rPr>
          <w:rFonts w:ascii="Times New Roman" w:hAnsi="Times New Roman" w:cs="Times New Roman"/>
          <w:sz w:val="24"/>
          <w:szCs w:val="24"/>
        </w:rPr>
        <w:t>a</w:t>
      </w:r>
      <w:r w:rsidR="0060605D" w:rsidRPr="009F28AA">
        <w:rPr>
          <w:rFonts w:ascii="Times New Roman" w:hAnsi="Times New Roman" w:cs="Times New Roman"/>
          <w:sz w:val="24"/>
          <w:szCs w:val="24"/>
        </w:rPr>
        <w:t xml:space="preserve"> </w:t>
      </w:r>
      <w:r w:rsidRPr="009F28AA">
        <w:rPr>
          <w:rFonts w:ascii="Times New Roman" w:hAnsi="Times New Roman" w:cs="Times New Roman"/>
          <w:sz w:val="24"/>
          <w:szCs w:val="24"/>
        </w:rPr>
        <w:t>franc</w:t>
      </w:r>
      <w:r w:rsidRPr="003E5962">
        <w:rPr>
          <w:rFonts w:ascii="Times New Roman" w:hAnsi="Times New Roman" w:cs="Times New Roman"/>
          <w:sz w:val="24"/>
          <w:szCs w:val="24"/>
        </w:rPr>
        <w:t>ia Bolar kivétel lényegében a</w:t>
      </w:r>
      <w:r w:rsidR="0060605D">
        <w:rPr>
          <w:rFonts w:ascii="Times New Roman" w:hAnsi="Times New Roman" w:cs="Times New Roman"/>
          <w:sz w:val="24"/>
          <w:szCs w:val="24"/>
        </w:rPr>
        <w:t xml:space="preserve"> </w:t>
      </w:r>
      <w:r w:rsidR="0060605D" w:rsidRPr="0018714B">
        <w:rPr>
          <w:rFonts w:ascii="Times New Roman" w:hAnsi="Times New Roman" w:cs="Times New Roman"/>
          <w:sz w:val="24"/>
          <w:szCs w:val="24"/>
        </w:rPr>
        <w:t>2001/83/EK</w:t>
      </w:r>
      <w:r w:rsidR="0060605D">
        <w:rPr>
          <w:rFonts w:ascii="Times New Roman" w:hAnsi="Times New Roman" w:cs="Times New Roman"/>
          <w:sz w:val="24"/>
          <w:szCs w:val="24"/>
        </w:rPr>
        <w:t xml:space="preserve"> </w:t>
      </w:r>
      <w:r>
        <w:rPr>
          <w:rFonts w:ascii="Times New Roman" w:hAnsi="Times New Roman" w:cs="Times New Roman"/>
          <w:sz w:val="24"/>
          <w:szCs w:val="24"/>
        </w:rPr>
        <w:t>i</w:t>
      </w:r>
      <w:r w:rsidRPr="009F28AA">
        <w:rPr>
          <w:rFonts w:ascii="Times New Roman" w:hAnsi="Times New Roman" w:cs="Times New Roman"/>
          <w:sz w:val="24"/>
          <w:szCs w:val="24"/>
        </w:rPr>
        <w:t>rányelv szövegezését ismétli meg.</w:t>
      </w:r>
      <w:r>
        <w:rPr>
          <w:rStyle w:val="Lbjegyzet-hivatkozs"/>
          <w:rFonts w:ascii="Times New Roman" w:hAnsi="Times New Roman" w:cs="Times New Roman"/>
          <w:sz w:val="24"/>
          <w:szCs w:val="24"/>
        </w:rPr>
        <w:footnoteReference w:id="16"/>
      </w:r>
    </w:p>
    <w:p w14:paraId="28E26086" w14:textId="67709552" w:rsidR="00F02AA5" w:rsidRDefault="00F02AA5" w:rsidP="009B2064">
      <w:pPr>
        <w:pStyle w:val="Listaszerbekezds"/>
        <w:numPr>
          <w:ilvl w:val="0"/>
          <w:numId w:val="24"/>
        </w:numPr>
        <w:spacing w:after="0"/>
        <w:jc w:val="both"/>
        <w:rPr>
          <w:rFonts w:ascii="Times New Roman" w:hAnsi="Times New Roman" w:cs="Times New Roman"/>
          <w:sz w:val="24"/>
          <w:szCs w:val="24"/>
        </w:rPr>
      </w:pPr>
      <w:r w:rsidRPr="009F28AA">
        <w:rPr>
          <w:rFonts w:ascii="Times New Roman" w:hAnsi="Times New Roman" w:cs="Times New Roman"/>
          <w:b/>
          <w:sz w:val="24"/>
          <w:szCs w:val="24"/>
        </w:rPr>
        <w:t>Spanyolország</w:t>
      </w:r>
      <w:r>
        <w:rPr>
          <w:rFonts w:ascii="Times New Roman" w:hAnsi="Times New Roman" w:cs="Times New Roman"/>
          <w:sz w:val="24"/>
          <w:szCs w:val="24"/>
        </w:rPr>
        <w:t>: a spanyol Bolar kivétel a</w:t>
      </w:r>
      <w:r w:rsidR="0060605D">
        <w:rPr>
          <w:rFonts w:ascii="Times New Roman" w:hAnsi="Times New Roman" w:cs="Times New Roman"/>
          <w:sz w:val="24"/>
          <w:szCs w:val="24"/>
        </w:rPr>
        <w:t xml:space="preserve"> </w:t>
      </w:r>
      <w:r w:rsidR="0060605D" w:rsidRPr="0018714B">
        <w:rPr>
          <w:rFonts w:ascii="Times New Roman" w:hAnsi="Times New Roman" w:cs="Times New Roman"/>
          <w:sz w:val="24"/>
          <w:szCs w:val="24"/>
        </w:rPr>
        <w:t>2001/83/EK</w:t>
      </w:r>
      <w:r w:rsidR="0060605D">
        <w:rPr>
          <w:rFonts w:ascii="Times New Roman" w:hAnsi="Times New Roman" w:cs="Times New Roman"/>
          <w:sz w:val="24"/>
          <w:szCs w:val="24"/>
        </w:rPr>
        <w:t xml:space="preserve"> </w:t>
      </w:r>
      <w:r>
        <w:rPr>
          <w:rFonts w:ascii="Times New Roman" w:hAnsi="Times New Roman" w:cs="Times New Roman"/>
          <w:sz w:val="24"/>
          <w:szCs w:val="24"/>
        </w:rPr>
        <w:t>i</w:t>
      </w:r>
      <w:r w:rsidRPr="00F02AA5">
        <w:rPr>
          <w:rFonts w:ascii="Times New Roman" w:hAnsi="Times New Roman" w:cs="Times New Roman"/>
          <w:sz w:val="24"/>
          <w:szCs w:val="24"/>
        </w:rPr>
        <w:t>rányelv által szabott kereteket két ponton is pontosítja, azzal, hogy</w:t>
      </w:r>
      <w:r>
        <w:rPr>
          <w:rFonts w:ascii="Times New Roman" w:hAnsi="Times New Roman" w:cs="Times New Roman"/>
          <w:sz w:val="24"/>
          <w:szCs w:val="24"/>
        </w:rPr>
        <w:t xml:space="preserve"> egyrészt </w:t>
      </w:r>
      <w:r w:rsidRPr="009F28AA">
        <w:rPr>
          <w:rFonts w:ascii="Times New Roman" w:hAnsi="Times New Roman" w:cs="Times New Roman"/>
          <w:sz w:val="24"/>
          <w:szCs w:val="24"/>
        </w:rPr>
        <w:t>rögzíti, hogy a célhoz kötöttség tekintetében a forgalombahozatali engedély lehet belföldi vagy külföldi egyaránt</w:t>
      </w:r>
      <w:r>
        <w:rPr>
          <w:rFonts w:ascii="Times New Roman" w:hAnsi="Times New Roman" w:cs="Times New Roman"/>
          <w:sz w:val="24"/>
          <w:szCs w:val="24"/>
        </w:rPr>
        <w:t xml:space="preserve">, valamint </w:t>
      </w:r>
      <w:r w:rsidRPr="00C60E19">
        <w:rPr>
          <w:rFonts w:ascii="Times New Roman" w:hAnsi="Times New Roman" w:cs="Times New Roman"/>
          <w:sz w:val="24"/>
          <w:szCs w:val="24"/>
        </w:rPr>
        <w:t>a kísérleteken és vizsgálatokon felül példálózóan felsorolja azok</w:t>
      </w:r>
      <w:r w:rsidRPr="00F02AA5">
        <w:rPr>
          <w:rFonts w:ascii="Times New Roman" w:hAnsi="Times New Roman" w:cs="Times New Roman"/>
          <w:sz w:val="24"/>
          <w:szCs w:val="24"/>
        </w:rPr>
        <w:t>at a cselekményeket, am</w:t>
      </w:r>
      <w:r>
        <w:rPr>
          <w:rFonts w:ascii="Times New Roman" w:hAnsi="Times New Roman" w:cs="Times New Roman"/>
          <w:sz w:val="24"/>
          <w:szCs w:val="24"/>
        </w:rPr>
        <w:t>elyek</w:t>
      </w:r>
      <w:r w:rsidRPr="00F02AA5">
        <w:rPr>
          <w:rFonts w:ascii="Times New Roman" w:hAnsi="Times New Roman" w:cs="Times New Roman"/>
          <w:sz w:val="24"/>
          <w:szCs w:val="24"/>
        </w:rPr>
        <w:t xml:space="preserve">re az </w:t>
      </w:r>
      <w:r>
        <w:rPr>
          <w:rFonts w:ascii="Times New Roman" w:hAnsi="Times New Roman" w:cs="Times New Roman"/>
          <w:sz w:val="24"/>
          <w:szCs w:val="24"/>
        </w:rPr>
        <w:t>i</w:t>
      </w:r>
      <w:r w:rsidRPr="00C60E19">
        <w:rPr>
          <w:rFonts w:ascii="Times New Roman" w:hAnsi="Times New Roman" w:cs="Times New Roman"/>
          <w:sz w:val="24"/>
          <w:szCs w:val="24"/>
        </w:rPr>
        <w:t>rányelv „azokból adódó gyakorlati követelmények végrehajtásaként” (</w:t>
      </w:r>
      <w:r w:rsidRPr="00C60E19">
        <w:rPr>
          <w:rFonts w:ascii="Times New Roman" w:hAnsi="Times New Roman" w:cs="Times New Roman"/>
          <w:i/>
          <w:sz w:val="24"/>
          <w:szCs w:val="24"/>
        </w:rPr>
        <w:t xml:space="preserve">the consequential </w:t>
      </w:r>
      <w:r w:rsidRPr="00C60E19">
        <w:rPr>
          <w:rFonts w:ascii="Times New Roman" w:hAnsi="Times New Roman" w:cs="Times New Roman"/>
          <w:i/>
          <w:sz w:val="24"/>
          <w:szCs w:val="24"/>
        </w:rPr>
        <w:lastRenderedPageBreak/>
        <w:t>practical requirements</w:t>
      </w:r>
      <w:r w:rsidRPr="00C60E19">
        <w:rPr>
          <w:rFonts w:ascii="Times New Roman" w:hAnsi="Times New Roman" w:cs="Times New Roman"/>
          <w:sz w:val="24"/>
          <w:szCs w:val="24"/>
        </w:rPr>
        <w:t>) hivatkozik, nevesítve a hatóanyag előállítására vagy bes</w:t>
      </w:r>
      <w:r w:rsidRPr="00F02AA5">
        <w:rPr>
          <w:rFonts w:ascii="Times New Roman" w:hAnsi="Times New Roman" w:cs="Times New Roman"/>
          <w:sz w:val="24"/>
          <w:szCs w:val="24"/>
        </w:rPr>
        <w:t>zerzésére vonatkozó kivételeket</w:t>
      </w:r>
      <w:r>
        <w:rPr>
          <w:rFonts w:ascii="Times New Roman" w:hAnsi="Times New Roman" w:cs="Times New Roman"/>
          <w:sz w:val="24"/>
          <w:szCs w:val="24"/>
        </w:rPr>
        <w:t xml:space="preserve">, </w:t>
      </w:r>
      <w:r w:rsidRPr="00C60E19">
        <w:rPr>
          <w:rFonts w:ascii="Times New Roman" w:hAnsi="Times New Roman" w:cs="Times New Roman"/>
          <w:sz w:val="24"/>
          <w:szCs w:val="24"/>
        </w:rPr>
        <w:t>melyekre a Bolar kivétel Spanyolországban kiterjed.</w:t>
      </w:r>
      <w:r w:rsidR="00290FC5">
        <w:rPr>
          <w:rStyle w:val="Lbjegyzet-hivatkozs"/>
          <w:rFonts w:ascii="Times New Roman" w:hAnsi="Times New Roman" w:cs="Times New Roman"/>
          <w:sz w:val="24"/>
          <w:szCs w:val="24"/>
        </w:rPr>
        <w:footnoteReference w:id="17"/>
      </w:r>
    </w:p>
    <w:p w14:paraId="305BCC08" w14:textId="745476FE" w:rsidR="00290FC5" w:rsidRDefault="00290FC5" w:rsidP="009B2064">
      <w:pPr>
        <w:pStyle w:val="Listaszerbekezds"/>
        <w:numPr>
          <w:ilvl w:val="0"/>
          <w:numId w:val="24"/>
        </w:numPr>
        <w:spacing w:after="0"/>
        <w:jc w:val="both"/>
        <w:rPr>
          <w:rFonts w:ascii="Times New Roman" w:hAnsi="Times New Roman" w:cs="Times New Roman"/>
          <w:sz w:val="24"/>
          <w:szCs w:val="24"/>
        </w:rPr>
      </w:pPr>
      <w:r>
        <w:rPr>
          <w:rFonts w:ascii="Times New Roman" w:hAnsi="Times New Roman" w:cs="Times New Roman"/>
          <w:b/>
          <w:sz w:val="24"/>
          <w:szCs w:val="24"/>
        </w:rPr>
        <w:t>Lengyelország</w:t>
      </w:r>
      <w:r w:rsidRPr="00C60E19">
        <w:rPr>
          <w:rFonts w:ascii="Times New Roman" w:hAnsi="Times New Roman" w:cs="Times New Roman"/>
          <w:sz w:val="24"/>
          <w:szCs w:val="24"/>
        </w:rPr>
        <w:t>:</w:t>
      </w:r>
      <w:r>
        <w:rPr>
          <w:rFonts w:ascii="Times New Roman" w:hAnsi="Times New Roman" w:cs="Times New Roman"/>
          <w:b/>
          <w:sz w:val="24"/>
          <w:szCs w:val="24"/>
        </w:rPr>
        <w:t xml:space="preserve"> </w:t>
      </w:r>
      <w:r w:rsidRPr="00C60E19">
        <w:rPr>
          <w:rFonts w:ascii="Times New Roman" w:hAnsi="Times New Roman" w:cs="Times New Roman"/>
          <w:sz w:val="24"/>
          <w:szCs w:val="24"/>
        </w:rPr>
        <w:t xml:space="preserve">Lengyelországban a lengyel </w:t>
      </w:r>
      <w:r w:rsidR="00A95045">
        <w:rPr>
          <w:rFonts w:ascii="Times New Roman" w:hAnsi="Times New Roman" w:cs="Times New Roman"/>
          <w:sz w:val="24"/>
          <w:szCs w:val="24"/>
        </w:rPr>
        <w:t>i</w:t>
      </w:r>
      <w:r w:rsidR="00A95045" w:rsidRPr="00C60E19">
        <w:rPr>
          <w:rFonts w:ascii="Times New Roman" w:hAnsi="Times New Roman" w:cs="Times New Roman"/>
          <w:sz w:val="24"/>
          <w:szCs w:val="24"/>
        </w:rPr>
        <w:t xml:space="preserve">parjogvédelmi </w:t>
      </w:r>
      <w:r w:rsidRPr="00C60E19">
        <w:rPr>
          <w:rFonts w:ascii="Times New Roman" w:hAnsi="Times New Roman" w:cs="Times New Roman"/>
          <w:sz w:val="24"/>
          <w:szCs w:val="24"/>
        </w:rPr>
        <w:t>törvény (</w:t>
      </w:r>
      <w:r w:rsidRPr="00C60E19">
        <w:rPr>
          <w:rFonts w:ascii="Times New Roman" w:hAnsi="Times New Roman" w:cs="Times New Roman"/>
          <w:bCs/>
          <w:i/>
          <w:sz w:val="24"/>
          <w:szCs w:val="24"/>
        </w:rPr>
        <w:t>Ustawa z dnia 30 czerwca 2000 r. – Prawo własności przemysłowej</w:t>
      </w:r>
      <w:r w:rsidRPr="00C60E19">
        <w:rPr>
          <w:rFonts w:ascii="Times New Roman" w:hAnsi="Times New Roman" w:cs="Times New Roman"/>
          <w:bCs/>
          <w:sz w:val="24"/>
          <w:szCs w:val="24"/>
        </w:rPr>
        <w:t xml:space="preserve">) </w:t>
      </w:r>
      <w:r w:rsidRPr="00C60E19">
        <w:rPr>
          <w:rFonts w:ascii="Times New Roman" w:hAnsi="Times New Roman" w:cs="Times New Roman"/>
          <w:sz w:val="24"/>
          <w:szCs w:val="24"/>
        </w:rPr>
        <w:t>69.1. paragrafusa helyébe 2020. február 26-i hatállyal új paragrafus lépett</w:t>
      </w:r>
      <w:r w:rsidR="008E3AFF">
        <w:rPr>
          <w:rFonts w:ascii="Times New Roman" w:hAnsi="Times New Roman" w:cs="Times New Roman"/>
          <w:sz w:val="24"/>
          <w:szCs w:val="24"/>
        </w:rPr>
        <w:t>,</w:t>
      </w:r>
      <w:r w:rsidR="00716011">
        <w:rPr>
          <w:rStyle w:val="Lbjegyzet-hivatkozs"/>
          <w:rFonts w:ascii="Times New Roman" w:hAnsi="Times New Roman" w:cs="Times New Roman"/>
          <w:sz w:val="24"/>
          <w:szCs w:val="24"/>
        </w:rPr>
        <w:footnoteReference w:id="18"/>
      </w:r>
      <w:r w:rsidRPr="00C60E19">
        <w:rPr>
          <w:rFonts w:ascii="Times New Roman" w:hAnsi="Times New Roman" w:cs="Times New Roman"/>
          <w:sz w:val="24"/>
          <w:szCs w:val="24"/>
        </w:rPr>
        <w:t xml:space="preserve"> amely jelentősen </w:t>
      </w:r>
      <w:r>
        <w:rPr>
          <w:rFonts w:ascii="Times New Roman" w:hAnsi="Times New Roman" w:cs="Times New Roman"/>
          <w:sz w:val="24"/>
          <w:szCs w:val="24"/>
        </w:rPr>
        <w:t>módosított</w:t>
      </w:r>
      <w:r w:rsidRPr="00C60E19">
        <w:rPr>
          <w:rFonts w:ascii="Times New Roman" w:hAnsi="Times New Roman" w:cs="Times New Roman"/>
          <w:sz w:val="24"/>
          <w:szCs w:val="24"/>
        </w:rPr>
        <w:t>a Bolar kivétel határait.</w:t>
      </w:r>
      <w:r>
        <w:rPr>
          <w:rFonts w:ascii="Times New Roman" w:hAnsi="Times New Roman" w:cs="Times New Roman"/>
          <w:sz w:val="24"/>
          <w:szCs w:val="24"/>
        </w:rPr>
        <w:t xml:space="preserve"> Az új szabályozás értelmében:</w:t>
      </w:r>
    </w:p>
    <w:p w14:paraId="58E0273B" w14:textId="2F5A6AE4" w:rsidR="00290FC5" w:rsidRDefault="00290FC5" w:rsidP="009B2064">
      <w:pPr>
        <w:pStyle w:val="Listaszerbekezds"/>
        <w:numPr>
          <w:ilvl w:val="1"/>
          <w:numId w:val="29"/>
        </w:numPr>
        <w:spacing w:after="0"/>
        <w:jc w:val="both"/>
        <w:rPr>
          <w:rFonts w:ascii="Times New Roman" w:hAnsi="Times New Roman" w:cs="Times New Roman"/>
          <w:sz w:val="24"/>
          <w:szCs w:val="24"/>
        </w:rPr>
      </w:pPr>
      <w:r w:rsidRPr="00C60E19">
        <w:rPr>
          <w:rFonts w:ascii="Times New Roman" w:hAnsi="Times New Roman" w:cs="Times New Roman"/>
          <w:sz w:val="24"/>
          <w:szCs w:val="24"/>
        </w:rPr>
        <w:t xml:space="preserve">a Bolar kivételre a forgalombahozatali engedély céljának megvalósításhoz szükséges mértében </w:t>
      </w:r>
      <w:r w:rsidRPr="00C60E19">
        <w:rPr>
          <w:rFonts w:ascii="Times New Roman" w:hAnsi="Times New Roman" w:cs="Times New Roman"/>
          <w:b/>
          <w:sz w:val="24"/>
          <w:szCs w:val="24"/>
        </w:rPr>
        <w:t>harmadik felek is</w:t>
      </w:r>
      <w:r w:rsidRPr="00C60E19">
        <w:rPr>
          <w:rFonts w:ascii="Times New Roman" w:hAnsi="Times New Roman" w:cs="Times New Roman"/>
          <w:sz w:val="24"/>
          <w:szCs w:val="24"/>
        </w:rPr>
        <w:t xml:space="preserve"> hivatkozhatnak; </w:t>
      </w:r>
    </w:p>
    <w:p w14:paraId="2C45E7BD" w14:textId="77777777" w:rsidR="00290FC5" w:rsidRDefault="00290FC5" w:rsidP="009B2064">
      <w:pPr>
        <w:pStyle w:val="Listaszerbekezds"/>
        <w:numPr>
          <w:ilvl w:val="1"/>
          <w:numId w:val="29"/>
        </w:numPr>
        <w:spacing w:after="0"/>
        <w:jc w:val="both"/>
        <w:rPr>
          <w:rFonts w:ascii="Times New Roman" w:hAnsi="Times New Roman" w:cs="Times New Roman"/>
          <w:sz w:val="24"/>
          <w:szCs w:val="24"/>
        </w:rPr>
      </w:pPr>
      <w:r w:rsidRPr="00290FC5">
        <w:rPr>
          <w:rFonts w:ascii="Times New Roman" w:hAnsi="Times New Roman" w:cs="Times New Roman"/>
          <w:sz w:val="24"/>
          <w:szCs w:val="24"/>
        </w:rPr>
        <w:t xml:space="preserve">a forgalombahozatali engedély alatt </w:t>
      </w:r>
      <w:r w:rsidRPr="00C60E19">
        <w:rPr>
          <w:rFonts w:ascii="Times New Roman" w:hAnsi="Times New Roman" w:cs="Times New Roman"/>
          <w:b/>
          <w:sz w:val="24"/>
          <w:szCs w:val="24"/>
        </w:rPr>
        <w:t>bármely országban megszerzett forgalombahozatali engedély</w:t>
      </w:r>
      <w:r w:rsidRPr="00290FC5">
        <w:rPr>
          <w:rFonts w:ascii="Times New Roman" w:hAnsi="Times New Roman" w:cs="Times New Roman"/>
          <w:sz w:val="24"/>
          <w:szCs w:val="24"/>
        </w:rPr>
        <w:t xml:space="preserve"> értendő; </w:t>
      </w:r>
    </w:p>
    <w:p w14:paraId="1916E3AD" w14:textId="77777777" w:rsidR="00290FC5" w:rsidRDefault="00290FC5" w:rsidP="009B2064">
      <w:pPr>
        <w:pStyle w:val="Listaszerbekezds"/>
        <w:numPr>
          <w:ilvl w:val="1"/>
          <w:numId w:val="29"/>
        </w:numPr>
        <w:spacing w:after="0"/>
        <w:jc w:val="both"/>
        <w:rPr>
          <w:rFonts w:ascii="Times New Roman" w:hAnsi="Times New Roman" w:cs="Times New Roman"/>
          <w:sz w:val="24"/>
          <w:szCs w:val="24"/>
        </w:rPr>
      </w:pPr>
      <w:r w:rsidRPr="00C60E19">
        <w:rPr>
          <w:rFonts w:ascii="Times New Roman" w:hAnsi="Times New Roman" w:cs="Times New Roman"/>
          <w:sz w:val="24"/>
          <w:szCs w:val="24"/>
        </w:rPr>
        <w:t xml:space="preserve"> a Bolar kivétel </w:t>
      </w:r>
      <w:r w:rsidRPr="00C60E19">
        <w:rPr>
          <w:rFonts w:ascii="Times New Roman" w:hAnsi="Times New Roman" w:cs="Times New Roman"/>
          <w:b/>
          <w:sz w:val="24"/>
          <w:szCs w:val="24"/>
        </w:rPr>
        <w:t>technológiasemleges</w:t>
      </w:r>
      <w:r w:rsidRPr="00C60E19">
        <w:rPr>
          <w:rFonts w:ascii="Times New Roman" w:hAnsi="Times New Roman" w:cs="Times New Roman"/>
          <w:sz w:val="24"/>
          <w:szCs w:val="24"/>
        </w:rPr>
        <w:t xml:space="preserve">, de emellett a jogszabály mégis különös esetként kifejezetten hivatkozik a gyógyszerekre; </w:t>
      </w:r>
    </w:p>
    <w:p w14:paraId="3CE949C5" w14:textId="1E2919F3" w:rsidR="00290FC5" w:rsidRPr="00C60E19" w:rsidRDefault="00290FC5" w:rsidP="009B2064">
      <w:pPr>
        <w:pStyle w:val="Listaszerbekezds"/>
        <w:numPr>
          <w:ilvl w:val="1"/>
          <w:numId w:val="29"/>
        </w:numPr>
        <w:spacing w:after="0"/>
        <w:jc w:val="both"/>
        <w:rPr>
          <w:rFonts w:ascii="Times New Roman" w:hAnsi="Times New Roman" w:cs="Times New Roman"/>
          <w:sz w:val="24"/>
          <w:szCs w:val="24"/>
        </w:rPr>
      </w:pPr>
      <w:r w:rsidRPr="00C60E19">
        <w:rPr>
          <w:rFonts w:ascii="Times New Roman" w:hAnsi="Times New Roman" w:cs="Times New Roman"/>
          <w:sz w:val="24"/>
          <w:szCs w:val="24"/>
        </w:rPr>
        <w:t xml:space="preserve">a Bolar kivétel alá sorolható cselekményeket az egyértelműség kedvéért a jogszabály </w:t>
      </w:r>
      <w:r w:rsidRPr="00C60E19">
        <w:rPr>
          <w:rFonts w:ascii="Times New Roman" w:hAnsi="Times New Roman" w:cs="Times New Roman"/>
          <w:b/>
          <w:sz w:val="24"/>
          <w:szCs w:val="24"/>
        </w:rPr>
        <w:t>taxatíven</w:t>
      </w:r>
      <w:r w:rsidRPr="00C60E19">
        <w:rPr>
          <w:rFonts w:ascii="Times New Roman" w:hAnsi="Times New Roman" w:cs="Times New Roman"/>
          <w:sz w:val="24"/>
          <w:szCs w:val="24"/>
        </w:rPr>
        <w:t xml:space="preserve"> felsorolja. </w:t>
      </w:r>
    </w:p>
    <w:p w14:paraId="3C9B5A56" w14:textId="77777777" w:rsidR="00116CF5" w:rsidRPr="00265EA9" w:rsidRDefault="00116CF5" w:rsidP="00FE3DFF">
      <w:pPr>
        <w:pStyle w:val="Listaszerbekezds"/>
        <w:spacing w:after="0"/>
        <w:ind w:left="360"/>
        <w:jc w:val="both"/>
        <w:rPr>
          <w:rFonts w:ascii="Times New Roman" w:hAnsi="Times New Roman" w:cs="Times New Roman"/>
          <w:sz w:val="24"/>
          <w:szCs w:val="24"/>
        </w:rPr>
      </w:pPr>
    </w:p>
    <w:p w14:paraId="2EE56E2F" w14:textId="77777777" w:rsidR="00E1472E" w:rsidRPr="00265EA9" w:rsidRDefault="00E1472E">
      <w:pPr>
        <w:pStyle w:val="Listaszerbekezds"/>
        <w:numPr>
          <w:ilvl w:val="1"/>
          <w:numId w:val="13"/>
        </w:numPr>
        <w:spacing w:after="0"/>
        <w:jc w:val="both"/>
        <w:rPr>
          <w:rFonts w:ascii="Times New Roman" w:hAnsi="Times New Roman" w:cs="Times New Roman"/>
          <w:b/>
          <w:sz w:val="24"/>
          <w:szCs w:val="24"/>
        </w:rPr>
      </w:pPr>
      <w:r w:rsidRPr="00265EA9">
        <w:rPr>
          <w:rFonts w:ascii="Times New Roman" w:hAnsi="Times New Roman" w:cs="Times New Roman"/>
          <w:sz w:val="24"/>
          <w:szCs w:val="24"/>
        </w:rPr>
        <w:t xml:space="preserve"> </w:t>
      </w:r>
      <w:r w:rsidR="00CC2E31" w:rsidRPr="00CC2E31">
        <w:rPr>
          <w:rFonts w:ascii="Times New Roman" w:hAnsi="Times New Roman" w:cs="Times New Roman"/>
          <w:b/>
          <w:sz w:val="24"/>
          <w:szCs w:val="24"/>
        </w:rPr>
        <w:t xml:space="preserve">A </w:t>
      </w:r>
      <w:r w:rsidR="00CC2E31">
        <w:rPr>
          <w:rFonts w:ascii="Times New Roman" w:hAnsi="Times New Roman" w:cs="Times New Roman"/>
          <w:b/>
          <w:sz w:val="24"/>
          <w:szCs w:val="24"/>
        </w:rPr>
        <w:t xml:space="preserve">hazai </w:t>
      </w:r>
      <w:r w:rsidRPr="00265EA9">
        <w:rPr>
          <w:rFonts w:ascii="Times New Roman" w:hAnsi="Times New Roman" w:cs="Times New Roman"/>
          <w:b/>
          <w:sz w:val="24"/>
          <w:szCs w:val="24"/>
        </w:rPr>
        <w:t>szabályozás</w:t>
      </w:r>
      <w:r w:rsidR="00CC2E31">
        <w:rPr>
          <w:rFonts w:ascii="Times New Roman" w:hAnsi="Times New Roman" w:cs="Times New Roman"/>
          <w:b/>
          <w:sz w:val="24"/>
          <w:szCs w:val="24"/>
        </w:rPr>
        <w:t>i megoldás</w:t>
      </w:r>
    </w:p>
    <w:p w14:paraId="32C0CBDB" w14:textId="77777777" w:rsidR="00EE2C81" w:rsidRPr="00265EA9" w:rsidRDefault="00EE2C81">
      <w:pPr>
        <w:pStyle w:val="Listaszerbekezds"/>
        <w:spacing w:after="0"/>
        <w:ind w:left="360"/>
        <w:jc w:val="both"/>
        <w:rPr>
          <w:rFonts w:ascii="Times New Roman" w:hAnsi="Times New Roman" w:cs="Times New Roman"/>
          <w:sz w:val="24"/>
          <w:szCs w:val="24"/>
        </w:rPr>
      </w:pPr>
    </w:p>
    <w:p w14:paraId="29594EAD" w14:textId="77777777" w:rsidR="00E1472E" w:rsidRPr="00265EA9" w:rsidRDefault="00E1472E">
      <w:pPr>
        <w:pStyle w:val="Listaszerbekezds"/>
        <w:spacing w:after="0"/>
        <w:ind w:left="0"/>
        <w:jc w:val="both"/>
        <w:rPr>
          <w:rFonts w:ascii="Times New Roman" w:hAnsi="Times New Roman" w:cs="Times New Roman"/>
          <w:sz w:val="24"/>
          <w:szCs w:val="24"/>
        </w:rPr>
      </w:pPr>
      <w:r w:rsidRPr="00265EA9">
        <w:rPr>
          <w:rFonts w:ascii="Times New Roman" w:hAnsi="Times New Roman" w:cs="Times New Roman"/>
          <w:sz w:val="24"/>
          <w:szCs w:val="24"/>
        </w:rPr>
        <w:t xml:space="preserve">A Bolar kivételt a </w:t>
      </w:r>
      <w:r w:rsidR="00CA664A">
        <w:rPr>
          <w:rFonts w:ascii="Times New Roman" w:hAnsi="Times New Roman" w:cs="Times New Roman"/>
          <w:sz w:val="24"/>
          <w:szCs w:val="24"/>
        </w:rPr>
        <w:t>hazai szabadalmi</w:t>
      </w:r>
      <w:r w:rsidRPr="00265EA9">
        <w:rPr>
          <w:rFonts w:ascii="Times New Roman" w:hAnsi="Times New Roman" w:cs="Times New Roman"/>
          <w:sz w:val="24"/>
          <w:szCs w:val="24"/>
        </w:rPr>
        <w:t xml:space="preserve"> </w:t>
      </w:r>
      <w:r w:rsidR="00CC2E31">
        <w:rPr>
          <w:rFonts w:ascii="Times New Roman" w:hAnsi="Times New Roman" w:cs="Times New Roman"/>
          <w:sz w:val="24"/>
          <w:szCs w:val="24"/>
        </w:rPr>
        <w:t>jogba</w:t>
      </w:r>
      <w:r w:rsidR="00CA664A">
        <w:rPr>
          <w:rFonts w:ascii="Times New Roman" w:hAnsi="Times New Roman" w:cs="Times New Roman"/>
          <w:sz w:val="24"/>
          <w:szCs w:val="24"/>
        </w:rPr>
        <w:t>n</w:t>
      </w:r>
      <w:r w:rsidR="00CC2E31">
        <w:rPr>
          <w:rFonts w:ascii="Times New Roman" w:hAnsi="Times New Roman" w:cs="Times New Roman"/>
          <w:sz w:val="24"/>
          <w:szCs w:val="24"/>
        </w:rPr>
        <w:t xml:space="preserve"> az Szt.</w:t>
      </w:r>
      <w:r w:rsidR="00CA664A">
        <w:rPr>
          <w:rFonts w:ascii="Times New Roman" w:hAnsi="Times New Roman" w:cs="Times New Roman"/>
          <w:sz w:val="24"/>
          <w:szCs w:val="24"/>
        </w:rPr>
        <w:t xml:space="preserve"> 19. § (6) bekezdés</w:t>
      </w:r>
      <w:r w:rsidRPr="00265EA9">
        <w:rPr>
          <w:rFonts w:ascii="Times New Roman" w:hAnsi="Times New Roman" w:cs="Times New Roman"/>
          <w:sz w:val="24"/>
          <w:szCs w:val="24"/>
        </w:rPr>
        <w:t xml:space="preserve"> </w:t>
      </w:r>
      <w:r w:rsidRPr="00CC2E31">
        <w:rPr>
          <w:rFonts w:ascii="Times New Roman" w:hAnsi="Times New Roman" w:cs="Times New Roman"/>
          <w:i/>
          <w:sz w:val="24"/>
          <w:szCs w:val="24"/>
        </w:rPr>
        <w:t>b)</w:t>
      </w:r>
      <w:r w:rsidRPr="00265EA9">
        <w:rPr>
          <w:rFonts w:ascii="Times New Roman" w:hAnsi="Times New Roman" w:cs="Times New Roman"/>
          <w:sz w:val="24"/>
          <w:szCs w:val="24"/>
        </w:rPr>
        <w:t xml:space="preserve"> pontja szabályozza</w:t>
      </w:r>
      <w:r w:rsidR="00CA664A">
        <w:rPr>
          <w:rFonts w:ascii="Times New Roman" w:hAnsi="Times New Roman" w:cs="Times New Roman"/>
          <w:sz w:val="24"/>
          <w:szCs w:val="24"/>
        </w:rPr>
        <w:t>, az alábbiak szerint.</w:t>
      </w:r>
    </w:p>
    <w:p w14:paraId="622C0C93" w14:textId="77777777" w:rsidR="00E1472E" w:rsidRPr="00265EA9" w:rsidRDefault="00E1472E">
      <w:pPr>
        <w:pStyle w:val="Listaszerbekezds"/>
        <w:spacing w:after="0"/>
        <w:jc w:val="both"/>
        <w:rPr>
          <w:rFonts w:ascii="Times New Roman" w:hAnsi="Times New Roman" w:cs="Times New Roman"/>
          <w:sz w:val="24"/>
          <w:szCs w:val="24"/>
        </w:rPr>
      </w:pPr>
    </w:p>
    <w:p w14:paraId="4EEB596A" w14:textId="77777777" w:rsidR="00CA664A" w:rsidRDefault="00E1472E">
      <w:pPr>
        <w:pStyle w:val="Listaszerbekezds"/>
        <w:spacing w:after="0"/>
        <w:ind w:left="0"/>
        <w:jc w:val="both"/>
        <w:rPr>
          <w:rFonts w:ascii="Times New Roman" w:hAnsi="Times New Roman" w:cs="Times New Roman"/>
          <w:i/>
          <w:iCs/>
          <w:sz w:val="24"/>
          <w:szCs w:val="24"/>
        </w:rPr>
      </w:pPr>
      <w:r w:rsidRPr="00265EA9">
        <w:rPr>
          <w:rFonts w:ascii="Times New Roman" w:hAnsi="Times New Roman" w:cs="Times New Roman"/>
          <w:sz w:val="24"/>
          <w:szCs w:val="24"/>
        </w:rPr>
        <w:t>„</w:t>
      </w:r>
      <w:r w:rsidR="00CA664A">
        <w:rPr>
          <w:rFonts w:ascii="Times New Roman" w:hAnsi="Times New Roman" w:cs="Times New Roman"/>
          <w:sz w:val="24"/>
          <w:szCs w:val="24"/>
        </w:rPr>
        <w:t xml:space="preserve">19. § (6) </w:t>
      </w:r>
      <w:r w:rsidRPr="00265EA9">
        <w:rPr>
          <w:rFonts w:ascii="Times New Roman" w:hAnsi="Times New Roman" w:cs="Times New Roman"/>
          <w:i/>
          <w:iCs/>
          <w:sz w:val="24"/>
          <w:szCs w:val="24"/>
        </w:rPr>
        <w:t xml:space="preserve">A kizárólagos hasznosítási jog </w:t>
      </w:r>
      <w:r w:rsidRPr="00265EA9">
        <w:rPr>
          <w:rFonts w:ascii="Times New Roman" w:hAnsi="Times New Roman" w:cs="Times New Roman"/>
          <w:bCs/>
          <w:i/>
          <w:iCs/>
          <w:sz w:val="24"/>
          <w:szCs w:val="24"/>
        </w:rPr>
        <w:t>nem terjed ki</w:t>
      </w:r>
    </w:p>
    <w:p w14:paraId="35D21492" w14:textId="77777777" w:rsidR="00116CF5" w:rsidRPr="00265EA9" w:rsidRDefault="00CA664A">
      <w:pPr>
        <w:pStyle w:val="Listaszerbekezds"/>
        <w:spacing w:after="0"/>
        <w:ind w:left="0"/>
        <w:jc w:val="both"/>
        <w:rPr>
          <w:rFonts w:ascii="Times New Roman" w:hAnsi="Times New Roman" w:cs="Times New Roman"/>
          <w:sz w:val="24"/>
          <w:szCs w:val="24"/>
        </w:rPr>
      </w:pPr>
      <w:r>
        <w:rPr>
          <w:rFonts w:ascii="Times New Roman" w:hAnsi="Times New Roman" w:cs="Times New Roman"/>
          <w:i/>
          <w:iCs/>
          <w:sz w:val="24"/>
          <w:szCs w:val="24"/>
        </w:rPr>
        <w:t>b)</w:t>
      </w:r>
      <w:r w:rsidR="00E1472E" w:rsidRPr="00265EA9">
        <w:rPr>
          <w:rFonts w:ascii="Times New Roman" w:hAnsi="Times New Roman" w:cs="Times New Roman"/>
          <w:i/>
          <w:iCs/>
          <w:sz w:val="24"/>
          <w:szCs w:val="24"/>
        </w:rPr>
        <w:t xml:space="preserve"> </w:t>
      </w:r>
      <w:r w:rsidR="00E1472E" w:rsidRPr="00265EA9">
        <w:rPr>
          <w:rFonts w:ascii="Times New Roman" w:hAnsi="Times New Roman" w:cs="Times New Roman"/>
          <w:bCs/>
          <w:i/>
          <w:iCs/>
          <w:sz w:val="24"/>
          <w:szCs w:val="24"/>
        </w:rPr>
        <w:t xml:space="preserve">a találmány tárgyával kapcsolatos </w:t>
      </w:r>
      <w:r w:rsidR="00E1472E" w:rsidRPr="00CA664A">
        <w:rPr>
          <w:rFonts w:ascii="Times New Roman" w:hAnsi="Times New Roman" w:cs="Times New Roman"/>
          <w:b/>
          <w:bCs/>
          <w:i/>
          <w:iCs/>
          <w:sz w:val="24"/>
          <w:szCs w:val="24"/>
        </w:rPr>
        <w:t>kísérleti célú cselekményekre</w:t>
      </w:r>
      <w:r w:rsidR="00E1472E" w:rsidRPr="00265EA9">
        <w:rPr>
          <w:rFonts w:ascii="Times New Roman" w:hAnsi="Times New Roman" w:cs="Times New Roman"/>
          <w:i/>
          <w:iCs/>
          <w:sz w:val="24"/>
          <w:szCs w:val="24"/>
        </w:rPr>
        <w:t xml:space="preserve">, </w:t>
      </w:r>
      <w:r w:rsidR="00E1472E" w:rsidRPr="00CA664A">
        <w:rPr>
          <w:rFonts w:ascii="Times New Roman" w:hAnsi="Times New Roman" w:cs="Times New Roman"/>
          <w:b/>
          <w:i/>
          <w:iCs/>
          <w:sz w:val="24"/>
          <w:szCs w:val="24"/>
        </w:rPr>
        <w:t>ideértve</w:t>
      </w:r>
      <w:r w:rsidR="00E1472E" w:rsidRPr="00265EA9">
        <w:rPr>
          <w:rFonts w:ascii="Times New Roman" w:hAnsi="Times New Roman" w:cs="Times New Roman"/>
          <w:i/>
          <w:iCs/>
          <w:sz w:val="24"/>
          <w:szCs w:val="24"/>
        </w:rPr>
        <w:t xml:space="preserve"> a találmány </w:t>
      </w:r>
      <w:r w:rsidR="00E1472E" w:rsidRPr="00265EA9">
        <w:rPr>
          <w:rFonts w:ascii="Times New Roman" w:hAnsi="Times New Roman" w:cs="Times New Roman"/>
          <w:bCs/>
          <w:i/>
          <w:iCs/>
          <w:sz w:val="24"/>
          <w:szCs w:val="24"/>
        </w:rPr>
        <w:t xml:space="preserve">tárgyát képező termék vagy a találmány tárgyát képező eljárással előállított termék </w:t>
      </w:r>
      <w:r w:rsidR="00E1472E" w:rsidRPr="00CA664A">
        <w:rPr>
          <w:rFonts w:ascii="Times New Roman" w:hAnsi="Times New Roman" w:cs="Times New Roman"/>
          <w:b/>
          <w:bCs/>
          <w:i/>
          <w:iCs/>
          <w:sz w:val="24"/>
          <w:szCs w:val="24"/>
        </w:rPr>
        <w:t>forgalomba hozatalának engedélyezéséhez</w:t>
      </w:r>
      <w:r w:rsidR="00E1472E" w:rsidRPr="00265EA9">
        <w:rPr>
          <w:rFonts w:ascii="Times New Roman" w:hAnsi="Times New Roman" w:cs="Times New Roman"/>
          <w:bCs/>
          <w:i/>
          <w:iCs/>
          <w:sz w:val="24"/>
          <w:szCs w:val="24"/>
        </w:rPr>
        <w:t xml:space="preserve"> </w:t>
      </w:r>
      <w:r w:rsidR="00E1472E" w:rsidRPr="00CA664A">
        <w:rPr>
          <w:rFonts w:ascii="Times New Roman" w:hAnsi="Times New Roman" w:cs="Times New Roman"/>
          <w:b/>
          <w:bCs/>
          <w:i/>
          <w:iCs/>
          <w:sz w:val="24"/>
          <w:szCs w:val="24"/>
        </w:rPr>
        <w:t>szükséges kísérleteket és vizsgálatokat</w:t>
      </w:r>
      <w:r w:rsidR="00E1472E" w:rsidRPr="00265EA9">
        <w:rPr>
          <w:rFonts w:ascii="Times New Roman" w:hAnsi="Times New Roman" w:cs="Times New Roman"/>
          <w:i/>
          <w:iCs/>
          <w:sz w:val="24"/>
          <w:szCs w:val="24"/>
        </w:rPr>
        <w:t>.</w:t>
      </w:r>
      <w:r w:rsidR="00E1472E" w:rsidRPr="00265EA9">
        <w:rPr>
          <w:rFonts w:ascii="Times New Roman" w:hAnsi="Times New Roman" w:cs="Times New Roman"/>
          <w:sz w:val="24"/>
          <w:szCs w:val="24"/>
        </w:rPr>
        <w:t>”</w:t>
      </w:r>
    </w:p>
    <w:p w14:paraId="576BEF71" w14:textId="77777777" w:rsidR="00825F40" w:rsidRDefault="00825F40">
      <w:pPr>
        <w:pStyle w:val="Listaszerbekezds"/>
        <w:spacing w:after="0"/>
        <w:ind w:left="0"/>
        <w:jc w:val="both"/>
        <w:rPr>
          <w:rFonts w:ascii="Times New Roman" w:hAnsi="Times New Roman" w:cs="Times New Roman"/>
          <w:sz w:val="24"/>
          <w:szCs w:val="24"/>
        </w:rPr>
      </w:pPr>
    </w:p>
    <w:p w14:paraId="62CDAA0D" w14:textId="0695474D" w:rsidR="00977F97" w:rsidRDefault="00DB7A6F">
      <w:pPr>
        <w:spacing w:after="0"/>
        <w:jc w:val="both"/>
        <w:rPr>
          <w:rFonts w:ascii="Times New Roman" w:hAnsi="Times New Roman" w:cs="Times New Roman"/>
          <w:sz w:val="24"/>
          <w:szCs w:val="24"/>
        </w:rPr>
      </w:pPr>
      <w:r>
        <w:rPr>
          <w:rFonts w:ascii="Times New Roman" w:hAnsi="Times New Roman" w:cs="Times New Roman"/>
          <w:sz w:val="24"/>
          <w:szCs w:val="24"/>
        </w:rPr>
        <w:t xml:space="preserve">Elmondható, hogy </w:t>
      </w:r>
      <w:r w:rsidRPr="00CD5481">
        <w:rPr>
          <w:rFonts w:ascii="Times New Roman" w:hAnsi="Times New Roman" w:cs="Times New Roman"/>
          <w:sz w:val="24"/>
          <w:szCs w:val="24"/>
        </w:rPr>
        <w:t>az Szt. szövege</w:t>
      </w:r>
      <w:r>
        <w:rPr>
          <w:rFonts w:ascii="Times New Roman" w:hAnsi="Times New Roman" w:cs="Times New Roman"/>
          <w:sz w:val="24"/>
          <w:szCs w:val="24"/>
        </w:rPr>
        <w:t xml:space="preserve"> </w:t>
      </w:r>
      <w:r w:rsidRPr="00CD5481">
        <w:rPr>
          <w:rFonts w:ascii="Times New Roman" w:hAnsi="Times New Roman" w:cs="Times New Roman"/>
          <w:sz w:val="24"/>
          <w:szCs w:val="24"/>
        </w:rPr>
        <w:t>széles értelmezési keretet ad,</w:t>
      </w:r>
      <w:r>
        <w:rPr>
          <w:rFonts w:ascii="Times New Roman" w:hAnsi="Times New Roman" w:cs="Times New Roman"/>
          <w:sz w:val="24"/>
          <w:szCs w:val="24"/>
        </w:rPr>
        <w:t xml:space="preserve"> mivel</w:t>
      </w:r>
      <w:r w:rsidRPr="00CD5481">
        <w:rPr>
          <w:rFonts w:ascii="Times New Roman" w:hAnsi="Times New Roman" w:cs="Times New Roman"/>
          <w:sz w:val="24"/>
          <w:szCs w:val="24"/>
        </w:rPr>
        <w:t xml:space="preserve"> személyi, tárgyi és területi hatály tekintetében nem tartalmaz kifejezett korlátozást</w:t>
      </w:r>
      <w:r w:rsidR="00A7399F">
        <w:rPr>
          <w:rFonts w:ascii="Times New Roman" w:hAnsi="Times New Roman" w:cs="Times New Roman"/>
          <w:sz w:val="24"/>
          <w:szCs w:val="24"/>
        </w:rPr>
        <w:t>. Ez egyúttal azonban értelmezési nehézségeket is eredményezhet</w:t>
      </w:r>
      <w:r w:rsidR="00977F97">
        <w:rPr>
          <w:rFonts w:ascii="Times New Roman" w:hAnsi="Times New Roman" w:cs="Times New Roman"/>
          <w:sz w:val="24"/>
          <w:szCs w:val="24"/>
        </w:rPr>
        <w:t xml:space="preserve"> </w:t>
      </w:r>
      <w:r w:rsidR="00A7399F">
        <w:rPr>
          <w:rFonts w:ascii="Times New Roman" w:hAnsi="Times New Roman" w:cs="Times New Roman"/>
          <w:sz w:val="24"/>
          <w:szCs w:val="24"/>
        </w:rPr>
        <w:t xml:space="preserve">a </w:t>
      </w:r>
      <w:r w:rsidR="00977F97">
        <w:rPr>
          <w:rFonts w:ascii="Times New Roman" w:hAnsi="Times New Roman" w:cs="Times New Roman"/>
          <w:sz w:val="24"/>
          <w:szCs w:val="24"/>
        </w:rPr>
        <w:t>kivétel alkalmazási körével kapcsolatban</w:t>
      </w:r>
      <w:r w:rsidR="00A7399F">
        <w:rPr>
          <w:rFonts w:ascii="Times New Roman" w:hAnsi="Times New Roman" w:cs="Times New Roman"/>
          <w:sz w:val="24"/>
          <w:szCs w:val="24"/>
        </w:rPr>
        <w:t xml:space="preserve">. Ezzel összefüggésben </w:t>
      </w:r>
      <w:r w:rsidR="00977F97">
        <w:rPr>
          <w:rFonts w:ascii="Times New Roman" w:hAnsi="Times New Roman" w:cs="Times New Roman"/>
          <w:sz w:val="24"/>
          <w:szCs w:val="24"/>
        </w:rPr>
        <w:t xml:space="preserve">az Szt. indokolása </w:t>
      </w:r>
      <w:r w:rsidR="00A7399F">
        <w:rPr>
          <w:rFonts w:ascii="Times New Roman" w:hAnsi="Times New Roman" w:cs="Times New Roman"/>
          <w:sz w:val="24"/>
          <w:szCs w:val="24"/>
        </w:rPr>
        <w:t>s</w:t>
      </w:r>
      <w:r w:rsidR="00977F97">
        <w:rPr>
          <w:rFonts w:ascii="Times New Roman" w:hAnsi="Times New Roman" w:cs="Times New Roman"/>
          <w:sz w:val="24"/>
          <w:szCs w:val="24"/>
        </w:rPr>
        <w:t>em ad iránymutatást.</w:t>
      </w:r>
    </w:p>
    <w:p w14:paraId="07019310" w14:textId="77777777" w:rsidR="00977F97" w:rsidRDefault="00977F97">
      <w:pPr>
        <w:pStyle w:val="Listaszerbekezds"/>
        <w:spacing w:after="0"/>
        <w:ind w:left="0"/>
        <w:jc w:val="both"/>
        <w:rPr>
          <w:rFonts w:ascii="Times New Roman" w:hAnsi="Times New Roman" w:cs="Times New Roman"/>
          <w:sz w:val="24"/>
          <w:szCs w:val="24"/>
        </w:rPr>
      </w:pPr>
    </w:p>
    <w:p w14:paraId="5BAF4F68" w14:textId="49DE4AC6" w:rsidR="009B138A" w:rsidRDefault="00EC03AD">
      <w:pPr>
        <w:pStyle w:val="Listaszerbekezds"/>
        <w:spacing w:after="0"/>
        <w:ind w:left="0"/>
        <w:jc w:val="both"/>
        <w:rPr>
          <w:rFonts w:ascii="Times New Roman" w:hAnsi="Times New Roman" w:cs="Times New Roman"/>
          <w:sz w:val="24"/>
          <w:szCs w:val="24"/>
        </w:rPr>
      </w:pPr>
      <w:r>
        <w:rPr>
          <w:rFonts w:ascii="Times New Roman" w:hAnsi="Times New Roman" w:cs="Times New Roman"/>
          <w:sz w:val="24"/>
          <w:szCs w:val="24"/>
        </w:rPr>
        <w:t>B</w:t>
      </w:r>
      <w:r w:rsidR="00830E8B">
        <w:rPr>
          <w:rFonts w:ascii="Times New Roman" w:hAnsi="Times New Roman" w:cs="Times New Roman"/>
          <w:sz w:val="24"/>
          <w:szCs w:val="24"/>
        </w:rPr>
        <w:t>ár a Bolar kivétel már az Szt. hatálybalépésekor</w:t>
      </w:r>
      <w:r w:rsidR="004C1344">
        <w:rPr>
          <w:rFonts w:ascii="Times New Roman" w:hAnsi="Times New Roman" w:cs="Times New Roman"/>
          <w:sz w:val="24"/>
          <w:szCs w:val="24"/>
        </w:rPr>
        <w:t xml:space="preserve"> is</w:t>
      </w:r>
      <w:r w:rsidR="00830E8B">
        <w:rPr>
          <w:rFonts w:ascii="Times New Roman" w:hAnsi="Times New Roman" w:cs="Times New Roman"/>
          <w:sz w:val="24"/>
          <w:szCs w:val="24"/>
        </w:rPr>
        <w:t xml:space="preserve"> a törvény részét képezte, az eredeti</w:t>
      </w:r>
      <w:r w:rsidR="004C1344">
        <w:rPr>
          <w:rFonts w:ascii="Times New Roman" w:hAnsi="Times New Roman" w:cs="Times New Roman"/>
          <w:sz w:val="24"/>
          <w:szCs w:val="24"/>
        </w:rPr>
        <w:t xml:space="preserve"> szöveg</w:t>
      </w:r>
      <w:r w:rsidR="00830E8B">
        <w:rPr>
          <w:rFonts w:ascii="Times New Roman" w:hAnsi="Times New Roman" w:cs="Times New Roman"/>
          <w:sz w:val="24"/>
          <w:szCs w:val="24"/>
        </w:rPr>
        <w:t xml:space="preserve"> kifejezetten gyógyszer</w:t>
      </w:r>
      <w:r w:rsidR="00507697">
        <w:rPr>
          <w:rFonts w:ascii="Times New Roman" w:hAnsi="Times New Roman" w:cs="Times New Roman"/>
          <w:sz w:val="24"/>
          <w:szCs w:val="24"/>
        </w:rPr>
        <w:t>ekre fókuszáló</w:t>
      </w:r>
      <w:r w:rsidR="00830E8B">
        <w:rPr>
          <w:rFonts w:ascii="Times New Roman" w:hAnsi="Times New Roman" w:cs="Times New Roman"/>
          <w:sz w:val="24"/>
          <w:szCs w:val="24"/>
        </w:rPr>
        <w:t xml:space="preserve"> megfogalmazást</w:t>
      </w:r>
      <w:r w:rsidR="004C1344">
        <w:rPr>
          <w:rFonts w:ascii="Times New Roman" w:hAnsi="Times New Roman" w:cs="Times New Roman"/>
          <w:sz w:val="24"/>
          <w:szCs w:val="24"/>
        </w:rPr>
        <w:t xml:space="preserve"> tartalmazott. A 19. § (6) bekezdésének  </w:t>
      </w:r>
      <w:r w:rsidR="00C60E19">
        <w:rPr>
          <w:rFonts w:ascii="Times New Roman" w:hAnsi="Times New Roman" w:cs="Times New Roman"/>
          <w:sz w:val="24"/>
          <w:szCs w:val="24"/>
        </w:rPr>
        <w:t xml:space="preserve"> </w:t>
      </w:r>
      <w:r w:rsidR="009B138A">
        <w:rPr>
          <w:rFonts w:ascii="Times New Roman" w:hAnsi="Times New Roman" w:cs="Times New Roman"/>
          <w:sz w:val="24"/>
          <w:szCs w:val="24"/>
        </w:rPr>
        <w:t xml:space="preserve">a 1996. január 1-jei </w:t>
      </w:r>
      <w:r w:rsidR="004C1344">
        <w:rPr>
          <w:rFonts w:ascii="Times New Roman" w:hAnsi="Times New Roman" w:cs="Times New Roman"/>
          <w:sz w:val="24"/>
          <w:szCs w:val="24"/>
        </w:rPr>
        <w:t>hatályba lépéskori szövege a következő:</w:t>
      </w:r>
    </w:p>
    <w:p w14:paraId="0A2CA239" w14:textId="77777777" w:rsidR="009B138A" w:rsidRDefault="009B138A">
      <w:pPr>
        <w:pStyle w:val="Listaszerbekezds"/>
        <w:spacing w:after="0"/>
        <w:ind w:left="0"/>
        <w:jc w:val="both"/>
        <w:rPr>
          <w:rFonts w:ascii="Times New Roman" w:hAnsi="Times New Roman" w:cs="Times New Roman"/>
          <w:sz w:val="24"/>
          <w:szCs w:val="24"/>
        </w:rPr>
      </w:pPr>
    </w:p>
    <w:p w14:paraId="62152E35" w14:textId="77777777" w:rsidR="009B138A" w:rsidRPr="00CD5481" w:rsidRDefault="009B138A">
      <w:pPr>
        <w:pStyle w:val="Listaszerbekezds"/>
        <w:spacing w:after="0"/>
        <w:ind w:left="0"/>
        <w:jc w:val="both"/>
        <w:rPr>
          <w:rFonts w:ascii="Times New Roman" w:hAnsi="Times New Roman" w:cs="Times New Roman"/>
          <w:i/>
          <w:sz w:val="24"/>
          <w:szCs w:val="24"/>
        </w:rPr>
      </w:pPr>
      <w:r>
        <w:rPr>
          <w:rFonts w:ascii="Times New Roman" w:hAnsi="Times New Roman" w:cs="Times New Roman"/>
          <w:sz w:val="24"/>
          <w:szCs w:val="24"/>
        </w:rPr>
        <w:t>„</w:t>
      </w:r>
      <w:r w:rsidRPr="00CD5481">
        <w:rPr>
          <w:rFonts w:ascii="Times New Roman" w:hAnsi="Times New Roman" w:cs="Times New Roman"/>
          <w:i/>
          <w:sz w:val="24"/>
          <w:szCs w:val="24"/>
        </w:rPr>
        <w:t xml:space="preserve">A kizárólagos hasznosítási jog nem terjed ki </w:t>
      </w:r>
    </w:p>
    <w:p w14:paraId="619A819E" w14:textId="77777777" w:rsidR="009B138A" w:rsidRPr="00CD5481" w:rsidRDefault="009B138A">
      <w:pPr>
        <w:pStyle w:val="Listaszerbekezds"/>
        <w:spacing w:after="0"/>
        <w:ind w:left="0"/>
        <w:jc w:val="both"/>
        <w:rPr>
          <w:rFonts w:ascii="Times New Roman" w:hAnsi="Times New Roman" w:cs="Times New Roman"/>
          <w:i/>
          <w:sz w:val="24"/>
          <w:szCs w:val="24"/>
        </w:rPr>
      </w:pPr>
      <w:r w:rsidRPr="00CD5481">
        <w:rPr>
          <w:rFonts w:ascii="Times New Roman" w:hAnsi="Times New Roman" w:cs="Times New Roman"/>
          <w:i/>
          <w:sz w:val="24"/>
          <w:szCs w:val="24"/>
        </w:rPr>
        <w:t xml:space="preserve">a) a magánhasználat céljából végzett, illetve a gazdasági tevékenység körén kívül eső cselekményekre; </w:t>
      </w:r>
    </w:p>
    <w:p w14:paraId="7F6B667B" w14:textId="77777777" w:rsidR="009B138A" w:rsidRPr="00CD5481" w:rsidRDefault="009B138A">
      <w:pPr>
        <w:pStyle w:val="Listaszerbekezds"/>
        <w:spacing w:after="0"/>
        <w:ind w:left="0"/>
        <w:jc w:val="both"/>
        <w:rPr>
          <w:rFonts w:ascii="Times New Roman" w:hAnsi="Times New Roman" w:cs="Times New Roman"/>
          <w:i/>
          <w:sz w:val="24"/>
          <w:szCs w:val="24"/>
        </w:rPr>
      </w:pPr>
      <w:r w:rsidRPr="00CD5481">
        <w:rPr>
          <w:rFonts w:ascii="Times New Roman" w:hAnsi="Times New Roman" w:cs="Times New Roman"/>
          <w:b/>
          <w:bCs/>
          <w:i/>
          <w:sz w:val="24"/>
          <w:szCs w:val="24"/>
        </w:rPr>
        <w:lastRenderedPageBreak/>
        <w:t xml:space="preserve">b) a találmány tárgyával kapcsolatos kísérleti célú cselekményekre, ideértve a gyógyszer forgalomba hozatalának engedélyezéséhez szükséges kísérleteket és vizsgálatokat; </w:t>
      </w:r>
    </w:p>
    <w:p w14:paraId="6D5821D9" w14:textId="45F80103" w:rsidR="009B138A" w:rsidRPr="00CD5481" w:rsidRDefault="009B138A">
      <w:pPr>
        <w:pStyle w:val="Listaszerbekezds"/>
        <w:spacing w:after="0"/>
        <w:ind w:left="0"/>
        <w:jc w:val="both"/>
        <w:rPr>
          <w:rFonts w:ascii="Times New Roman" w:hAnsi="Times New Roman" w:cs="Times New Roman"/>
          <w:i/>
          <w:sz w:val="24"/>
          <w:szCs w:val="24"/>
        </w:rPr>
      </w:pPr>
      <w:r w:rsidRPr="00CD5481">
        <w:rPr>
          <w:rFonts w:ascii="Times New Roman" w:hAnsi="Times New Roman" w:cs="Times New Roman"/>
          <w:i/>
          <w:sz w:val="24"/>
          <w:szCs w:val="24"/>
        </w:rPr>
        <w:t>c) orvos által rendelt gyógyszernek gyógyszertárban vény alapján történő alkalmi elkészítésére és az így elkészített gyógyszerrel kapcsolatos további cselekményekre.</w:t>
      </w:r>
      <w:r>
        <w:rPr>
          <w:rFonts w:ascii="Times New Roman" w:hAnsi="Times New Roman" w:cs="Times New Roman"/>
          <w:i/>
          <w:sz w:val="24"/>
          <w:szCs w:val="24"/>
        </w:rPr>
        <w:t>”</w:t>
      </w:r>
    </w:p>
    <w:p w14:paraId="0AA58003" w14:textId="77777777" w:rsidR="009B138A" w:rsidRDefault="009B138A">
      <w:pPr>
        <w:pStyle w:val="Listaszerbekezds"/>
        <w:spacing w:after="0"/>
        <w:ind w:left="0"/>
        <w:jc w:val="both"/>
        <w:rPr>
          <w:rFonts w:ascii="Times New Roman" w:hAnsi="Times New Roman" w:cs="Times New Roman"/>
          <w:sz w:val="24"/>
          <w:szCs w:val="24"/>
        </w:rPr>
      </w:pPr>
    </w:p>
    <w:p w14:paraId="62737439" w14:textId="04654E35" w:rsidR="00507697" w:rsidRPr="00507697" w:rsidRDefault="009B138A">
      <w:pPr>
        <w:pStyle w:val="Listaszerbekezd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Az Szt. Bolar kivételt szabályozó rendelkezése a törvény hatálya lépése óta egy alkalommal módosult, </w:t>
      </w:r>
      <w:r w:rsidR="00507697" w:rsidRPr="00507697">
        <w:rPr>
          <w:rFonts w:ascii="Times New Roman" w:hAnsi="Times New Roman" w:cs="Times New Roman"/>
          <w:sz w:val="24"/>
          <w:szCs w:val="24"/>
        </w:rPr>
        <w:t>a formatervezési minták oltalmáról</w:t>
      </w:r>
      <w:r w:rsidR="00507697">
        <w:rPr>
          <w:rFonts w:ascii="Times New Roman" w:hAnsi="Times New Roman" w:cs="Times New Roman"/>
          <w:sz w:val="24"/>
          <w:szCs w:val="24"/>
        </w:rPr>
        <w:t xml:space="preserve"> szóló </w:t>
      </w:r>
      <w:r w:rsidR="00507697" w:rsidRPr="00507697">
        <w:rPr>
          <w:rFonts w:ascii="Times New Roman" w:hAnsi="Times New Roman" w:cs="Times New Roman"/>
          <w:sz w:val="24"/>
          <w:szCs w:val="24"/>
        </w:rPr>
        <w:t>2001. évi XLVIII. törvén</w:t>
      </w:r>
      <w:r>
        <w:rPr>
          <w:rFonts w:ascii="Times New Roman" w:hAnsi="Times New Roman" w:cs="Times New Roman"/>
          <w:sz w:val="24"/>
          <w:szCs w:val="24"/>
        </w:rPr>
        <w:t>n</w:t>
      </w:r>
      <w:r w:rsidR="00507697" w:rsidRPr="00507697">
        <w:rPr>
          <w:rFonts w:ascii="Times New Roman" w:hAnsi="Times New Roman" w:cs="Times New Roman"/>
          <w:sz w:val="24"/>
          <w:szCs w:val="24"/>
        </w:rPr>
        <w:t>y</w:t>
      </w:r>
      <w:r>
        <w:rPr>
          <w:rFonts w:ascii="Times New Roman" w:hAnsi="Times New Roman" w:cs="Times New Roman"/>
          <w:sz w:val="24"/>
          <w:szCs w:val="24"/>
        </w:rPr>
        <w:t>el: a módosító törvény</w:t>
      </w:r>
      <w:r w:rsidR="00507697" w:rsidRPr="00507697">
        <w:rPr>
          <w:rFonts w:ascii="Times New Roman" w:hAnsi="Times New Roman" w:cs="Times New Roman"/>
          <w:sz w:val="24"/>
          <w:szCs w:val="24"/>
        </w:rPr>
        <w:t xml:space="preserve"> </w:t>
      </w:r>
      <w:r w:rsidR="00507697">
        <w:rPr>
          <w:rFonts w:ascii="Times New Roman" w:hAnsi="Times New Roman" w:cs="Times New Roman"/>
          <w:sz w:val="24"/>
          <w:szCs w:val="24"/>
        </w:rPr>
        <w:t xml:space="preserve">67. § (1) bek. </w:t>
      </w:r>
      <w:r w:rsidR="00507697" w:rsidRPr="00507697">
        <w:rPr>
          <w:rFonts w:ascii="Times New Roman" w:hAnsi="Times New Roman" w:cs="Times New Roman"/>
          <w:i/>
          <w:sz w:val="24"/>
          <w:szCs w:val="24"/>
        </w:rPr>
        <w:t>h)</w:t>
      </w:r>
      <w:r w:rsidR="00507697">
        <w:rPr>
          <w:rFonts w:ascii="Times New Roman" w:hAnsi="Times New Roman" w:cs="Times New Roman"/>
          <w:sz w:val="24"/>
          <w:szCs w:val="24"/>
        </w:rPr>
        <w:t xml:space="preserve"> pontja</w:t>
      </w:r>
      <w:r>
        <w:rPr>
          <w:rFonts w:ascii="Times New Roman" w:hAnsi="Times New Roman" w:cs="Times New Roman"/>
          <w:sz w:val="24"/>
          <w:szCs w:val="24"/>
        </w:rPr>
        <w:t xml:space="preserve"> a korábbi gyógyszer specifikus kivételt</w:t>
      </w:r>
      <w:r w:rsidR="00507697">
        <w:rPr>
          <w:rFonts w:ascii="Times New Roman" w:hAnsi="Times New Roman" w:cs="Times New Roman"/>
          <w:sz w:val="24"/>
          <w:szCs w:val="24"/>
        </w:rPr>
        <w:t xml:space="preserve"> technológia</w:t>
      </w:r>
      <w:r w:rsidR="009A1DED">
        <w:rPr>
          <w:rFonts w:ascii="Times New Roman" w:hAnsi="Times New Roman" w:cs="Times New Roman"/>
          <w:sz w:val="24"/>
          <w:szCs w:val="24"/>
        </w:rPr>
        <w:t xml:space="preserve"> </w:t>
      </w:r>
      <w:r w:rsidR="00507697">
        <w:rPr>
          <w:rFonts w:ascii="Times New Roman" w:hAnsi="Times New Roman" w:cs="Times New Roman"/>
          <w:sz w:val="24"/>
          <w:szCs w:val="24"/>
        </w:rPr>
        <w:t xml:space="preserve">semleges rendelkezésre cserélte. A kapcsolódó indokolás szerint: </w:t>
      </w:r>
    </w:p>
    <w:p w14:paraId="023E9D61" w14:textId="77777777" w:rsidR="009A1DED" w:rsidRDefault="009A1DED">
      <w:pPr>
        <w:pStyle w:val="Listaszerbekezds"/>
        <w:spacing w:after="0"/>
        <w:ind w:left="0"/>
        <w:jc w:val="both"/>
        <w:rPr>
          <w:rFonts w:ascii="Times New Roman" w:hAnsi="Times New Roman" w:cs="Times New Roman"/>
          <w:sz w:val="24"/>
          <w:szCs w:val="24"/>
        </w:rPr>
      </w:pPr>
    </w:p>
    <w:p w14:paraId="37285094" w14:textId="77777777" w:rsidR="00507697" w:rsidRPr="00507697" w:rsidRDefault="009A1DED">
      <w:pPr>
        <w:pStyle w:val="Listaszerbekezds"/>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507697" w:rsidRPr="009A1DED">
        <w:rPr>
          <w:rFonts w:ascii="Times New Roman" w:hAnsi="Times New Roman" w:cs="Times New Roman"/>
          <w:i/>
          <w:sz w:val="24"/>
          <w:szCs w:val="24"/>
        </w:rPr>
        <w:t>A TRIPS-egyezmény 27. Cikkének (2) bekezdésében foglaltak indokolják az Szt. 6. §-a (2) bekezdésének módosítását [66. § c) pont]. Hasonlóképpen a TRIPS-egyezménnyel függ össze az Szt. 19. §-a (6) bekezdése b) pontjának módosítása [67. § (1) bek. h) pont]. A Kereskedelmi Világszervezetben az EK részéről Kanada ellen kezdeményezett vitarendezési eljárásban hozott döntés is megerősítette, hogy hatályos jogunk e rendelkezése alapvetően megfelel a TRIPS-egyezménynek (így különösen az egyezmény 30. Cikkének), viszont aggálytalanná akkor válik, ha - összhangban a TRIPS-egyezmény 27. Cikkének (1) bekezdésében foglaltakkal - technológiailag semleges (azaz nem csupán a gyógyszerekre összpontosító) megfogalmazást kap.</w:t>
      </w:r>
      <w:r>
        <w:rPr>
          <w:rFonts w:ascii="Times New Roman" w:hAnsi="Times New Roman" w:cs="Times New Roman"/>
          <w:sz w:val="24"/>
          <w:szCs w:val="24"/>
        </w:rPr>
        <w:t>”</w:t>
      </w:r>
    </w:p>
    <w:p w14:paraId="20A81C68" w14:textId="77777777" w:rsidR="00830E8B" w:rsidRPr="00265EA9" w:rsidRDefault="00830E8B">
      <w:pPr>
        <w:pStyle w:val="Listaszerbekezds"/>
        <w:spacing w:after="0"/>
        <w:ind w:left="0"/>
        <w:jc w:val="both"/>
        <w:rPr>
          <w:rFonts w:ascii="Times New Roman" w:hAnsi="Times New Roman" w:cs="Times New Roman"/>
          <w:sz w:val="24"/>
          <w:szCs w:val="24"/>
        </w:rPr>
      </w:pPr>
    </w:p>
    <w:p w14:paraId="6C5675B4" w14:textId="3A8FFC7B" w:rsidR="00E1472E" w:rsidRPr="00EB6336" w:rsidRDefault="00116CF5">
      <w:pPr>
        <w:pStyle w:val="Listaszerbekezds"/>
        <w:numPr>
          <w:ilvl w:val="0"/>
          <w:numId w:val="13"/>
        </w:numPr>
        <w:spacing w:after="0"/>
        <w:jc w:val="both"/>
        <w:rPr>
          <w:rFonts w:ascii="Times New Roman félkövér" w:hAnsi="Times New Roman félkövér" w:cs="Times New Roman"/>
          <w:b/>
          <w:smallCaps/>
          <w:sz w:val="24"/>
          <w:szCs w:val="24"/>
        </w:rPr>
      </w:pPr>
      <w:r w:rsidRPr="00EB6336">
        <w:rPr>
          <w:rFonts w:ascii="Times New Roman félkövér" w:hAnsi="Times New Roman félkövér" w:cs="Times New Roman"/>
          <w:b/>
          <w:smallCaps/>
          <w:sz w:val="24"/>
          <w:szCs w:val="24"/>
        </w:rPr>
        <w:t>A Bolar kivétel hazai szabályozás</w:t>
      </w:r>
      <w:r w:rsidR="00384607">
        <w:rPr>
          <w:rFonts w:ascii="Times New Roman félkövér" w:hAnsi="Times New Roman félkövér" w:cs="Times New Roman"/>
          <w:b/>
          <w:smallCaps/>
          <w:sz w:val="24"/>
          <w:szCs w:val="24"/>
        </w:rPr>
        <w:t>a</w:t>
      </w:r>
      <w:r w:rsidRPr="00EB6336">
        <w:rPr>
          <w:rFonts w:ascii="Times New Roman félkövér" w:hAnsi="Times New Roman félkövér" w:cs="Times New Roman"/>
          <w:b/>
          <w:smallCaps/>
          <w:sz w:val="24"/>
          <w:szCs w:val="24"/>
        </w:rPr>
        <w:t xml:space="preserve"> </w:t>
      </w:r>
      <w:r w:rsidR="00EB6336" w:rsidRPr="00EB6336">
        <w:rPr>
          <w:rFonts w:ascii="Times New Roman félkövér" w:hAnsi="Times New Roman félkövér" w:cs="Times New Roman"/>
          <w:b/>
          <w:smallCaps/>
          <w:sz w:val="24"/>
          <w:szCs w:val="24"/>
        </w:rPr>
        <w:t>felülvizsgálatának lehetősége</w:t>
      </w:r>
    </w:p>
    <w:p w14:paraId="162CD30A" w14:textId="77777777" w:rsidR="00C438C3" w:rsidRPr="00265EA9" w:rsidRDefault="00C438C3">
      <w:pPr>
        <w:pStyle w:val="Listaszerbekezds"/>
        <w:spacing w:after="0"/>
        <w:ind w:left="644"/>
        <w:jc w:val="both"/>
        <w:rPr>
          <w:rFonts w:ascii="Times New Roman" w:hAnsi="Times New Roman" w:cs="Times New Roman"/>
          <w:b/>
          <w:sz w:val="24"/>
          <w:szCs w:val="24"/>
        </w:rPr>
      </w:pPr>
    </w:p>
    <w:p w14:paraId="38FBBF30" w14:textId="40D5DCD7" w:rsidR="00856620" w:rsidRDefault="0099456B">
      <w:pPr>
        <w:pStyle w:val="Listaszerbekezds"/>
        <w:spacing w:after="0"/>
        <w:ind w:left="0"/>
        <w:jc w:val="both"/>
        <w:rPr>
          <w:rFonts w:ascii="Times New Roman" w:hAnsi="Times New Roman" w:cs="Times New Roman"/>
          <w:bCs/>
          <w:sz w:val="24"/>
          <w:szCs w:val="24"/>
        </w:rPr>
      </w:pPr>
      <w:r>
        <w:rPr>
          <w:rFonts w:ascii="Times New Roman" w:hAnsi="Times New Roman" w:cs="Times New Roman"/>
          <w:bCs/>
          <w:sz w:val="24"/>
          <w:szCs w:val="24"/>
        </w:rPr>
        <w:t xml:space="preserve">A közelmúltban, elsődlegesen a gyógyszeripar területén </w:t>
      </w:r>
      <w:r w:rsidR="00571982">
        <w:rPr>
          <w:rFonts w:ascii="Times New Roman" w:hAnsi="Times New Roman" w:cs="Times New Roman"/>
          <w:bCs/>
          <w:sz w:val="24"/>
          <w:szCs w:val="24"/>
        </w:rPr>
        <w:t xml:space="preserve">felmerült az igény annak tisztázására, hogy a </w:t>
      </w:r>
      <w:r w:rsidR="00571982" w:rsidRPr="00571982">
        <w:rPr>
          <w:rFonts w:ascii="Times New Roman" w:hAnsi="Times New Roman" w:cs="Times New Roman"/>
          <w:bCs/>
          <w:sz w:val="24"/>
          <w:szCs w:val="24"/>
        </w:rPr>
        <w:t>2001/83/EK irányelv</w:t>
      </w:r>
      <w:r w:rsidR="00571982">
        <w:rPr>
          <w:rFonts w:ascii="Times New Roman" w:hAnsi="Times New Roman" w:cs="Times New Roman"/>
          <w:bCs/>
          <w:sz w:val="24"/>
          <w:szCs w:val="24"/>
        </w:rPr>
        <w:t xml:space="preserve"> pontosan milyen személyi és tárgyi hatállyal teszi lehetővé a szabadalom jogosultjának engedély és díjfizetés nélküli hasznosítá</w:t>
      </w:r>
      <w:r w:rsidR="00751460">
        <w:rPr>
          <w:rFonts w:ascii="Times New Roman" w:hAnsi="Times New Roman" w:cs="Times New Roman"/>
          <w:bCs/>
          <w:sz w:val="24"/>
          <w:szCs w:val="24"/>
        </w:rPr>
        <w:t>st,</w:t>
      </w:r>
      <w:r w:rsidR="0016075D">
        <w:rPr>
          <w:rStyle w:val="Lbjegyzet-hivatkozs"/>
          <w:rFonts w:ascii="Times New Roman" w:hAnsi="Times New Roman" w:cs="Times New Roman"/>
          <w:bCs/>
          <w:sz w:val="24"/>
          <w:szCs w:val="24"/>
        </w:rPr>
        <w:footnoteReference w:id="19"/>
      </w:r>
      <w:r w:rsidR="00751460">
        <w:rPr>
          <w:rFonts w:ascii="Times New Roman" w:hAnsi="Times New Roman" w:cs="Times New Roman"/>
          <w:bCs/>
          <w:sz w:val="24"/>
          <w:szCs w:val="24"/>
        </w:rPr>
        <w:t xml:space="preserve"> különös tekintettel arra, hogy a Bolar kivétel átültetését az egyes országok egymáshoz képest </w:t>
      </w:r>
      <w:r w:rsidR="00F4386B">
        <w:rPr>
          <w:rFonts w:ascii="Times New Roman" w:hAnsi="Times New Roman" w:cs="Times New Roman"/>
          <w:bCs/>
          <w:sz w:val="24"/>
          <w:szCs w:val="24"/>
        </w:rPr>
        <w:t xml:space="preserve">jelentős </w:t>
      </w:r>
      <w:r w:rsidR="00751460">
        <w:rPr>
          <w:rFonts w:ascii="Times New Roman" w:hAnsi="Times New Roman" w:cs="Times New Roman"/>
          <w:bCs/>
          <w:sz w:val="24"/>
          <w:szCs w:val="24"/>
        </w:rPr>
        <w:t>eltérésekkel valósították meg.</w:t>
      </w:r>
      <w:r w:rsidR="00751460">
        <w:rPr>
          <w:rStyle w:val="Lbjegyzet-hivatkozs"/>
          <w:rFonts w:ascii="Times New Roman" w:hAnsi="Times New Roman" w:cs="Times New Roman"/>
          <w:bCs/>
          <w:sz w:val="24"/>
          <w:szCs w:val="24"/>
        </w:rPr>
        <w:footnoteReference w:id="20"/>
      </w:r>
      <w:r w:rsidR="00751460">
        <w:rPr>
          <w:rFonts w:ascii="Times New Roman" w:hAnsi="Times New Roman" w:cs="Times New Roman"/>
          <w:bCs/>
          <w:sz w:val="24"/>
          <w:szCs w:val="24"/>
        </w:rPr>
        <w:t xml:space="preserve"> </w:t>
      </w:r>
      <w:r w:rsidR="00571982">
        <w:rPr>
          <w:rFonts w:ascii="Times New Roman" w:hAnsi="Times New Roman" w:cs="Times New Roman"/>
          <w:bCs/>
          <w:sz w:val="24"/>
          <w:szCs w:val="24"/>
        </w:rPr>
        <w:t xml:space="preserve"> </w:t>
      </w:r>
      <w:r w:rsidR="00C62AD5">
        <w:rPr>
          <w:rFonts w:ascii="Times New Roman" w:hAnsi="Times New Roman" w:cs="Times New Roman"/>
          <w:bCs/>
          <w:sz w:val="24"/>
          <w:szCs w:val="24"/>
        </w:rPr>
        <w:t>Ez egyúttal felveti azt a kérdést is, hogy az Szt.-ben szabályozott Bolar kivétel személyi és tárgyi hatálya a gyakorlatban megfelelően alkalmazható-e, szükséges-e esetleg a rendelkezés módosítása, pontosítása.</w:t>
      </w:r>
    </w:p>
    <w:p w14:paraId="0268F11A" w14:textId="77777777" w:rsidR="00856620" w:rsidRDefault="00856620">
      <w:pPr>
        <w:pStyle w:val="Listaszerbekezds"/>
        <w:spacing w:after="0"/>
        <w:ind w:left="0"/>
        <w:jc w:val="both"/>
        <w:rPr>
          <w:rFonts w:ascii="Times New Roman" w:hAnsi="Times New Roman" w:cs="Times New Roman"/>
          <w:bCs/>
          <w:sz w:val="24"/>
          <w:szCs w:val="24"/>
        </w:rPr>
      </w:pPr>
    </w:p>
    <w:p w14:paraId="1A187342" w14:textId="1586AFFD" w:rsidR="00091DD6" w:rsidRDefault="00856620">
      <w:pPr>
        <w:pStyle w:val="Listaszerbekezds"/>
        <w:spacing w:after="0"/>
        <w:ind w:left="0"/>
        <w:jc w:val="both"/>
        <w:rPr>
          <w:rFonts w:ascii="Times New Roman" w:hAnsi="Times New Roman" w:cs="Times New Roman"/>
          <w:b/>
          <w:bCs/>
          <w:sz w:val="24"/>
          <w:szCs w:val="24"/>
        </w:rPr>
      </w:pPr>
      <w:r w:rsidRPr="00CD5481">
        <w:rPr>
          <w:rFonts w:ascii="Times New Roman" w:hAnsi="Times New Roman" w:cs="Times New Roman"/>
          <w:b/>
          <w:bCs/>
          <w:sz w:val="24"/>
          <w:szCs w:val="24"/>
        </w:rPr>
        <w:t>3.1.</w:t>
      </w:r>
      <w:r>
        <w:rPr>
          <w:rFonts w:ascii="Times New Roman" w:hAnsi="Times New Roman" w:cs="Times New Roman"/>
          <w:bCs/>
          <w:sz w:val="24"/>
          <w:szCs w:val="24"/>
        </w:rPr>
        <w:t xml:space="preserve"> </w:t>
      </w:r>
      <w:r w:rsidR="00091DD6" w:rsidRPr="00CD5481">
        <w:rPr>
          <w:rFonts w:ascii="Times New Roman" w:hAnsi="Times New Roman" w:cs="Times New Roman"/>
          <w:b/>
          <w:bCs/>
          <w:sz w:val="24"/>
          <w:szCs w:val="24"/>
        </w:rPr>
        <w:t xml:space="preserve"> A felülvizsgálat jogi korlátai</w:t>
      </w:r>
    </w:p>
    <w:p w14:paraId="727BF975" w14:textId="77777777" w:rsidR="00856620" w:rsidRPr="00CD5481" w:rsidRDefault="00856620">
      <w:pPr>
        <w:pStyle w:val="Listaszerbekezds"/>
        <w:spacing w:after="0"/>
        <w:ind w:left="0"/>
        <w:jc w:val="both"/>
        <w:rPr>
          <w:rFonts w:ascii="Times New Roman" w:hAnsi="Times New Roman" w:cs="Times New Roman"/>
          <w:bCs/>
          <w:sz w:val="24"/>
          <w:szCs w:val="24"/>
        </w:rPr>
      </w:pPr>
    </w:p>
    <w:p w14:paraId="26A4F97C" w14:textId="1B4FF170" w:rsidR="00091DD6" w:rsidRPr="00CD5481" w:rsidRDefault="00091DD6" w:rsidP="009B2064">
      <w:pPr>
        <w:spacing w:after="0"/>
        <w:jc w:val="both"/>
        <w:rPr>
          <w:rFonts w:ascii="Times New Roman" w:hAnsi="Times New Roman" w:cs="Times New Roman"/>
          <w:bCs/>
          <w:sz w:val="24"/>
          <w:szCs w:val="24"/>
        </w:rPr>
      </w:pPr>
      <w:r w:rsidRPr="00CD5481">
        <w:rPr>
          <w:rFonts w:ascii="Times New Roman" w:hAnsi="Times New Roman" w:cs="Times New Roman"/>
          <w:bCs/>
          <w:sz w:val="24"/>
          <w:szCs w:val="24"/>
        </w:rPr>
        <w:t xml:space="preserve">Az Szt.-ben szabályozott Bolar kivétel felülvizsgálatának szükségessége </w:t>
      </w:r>
      <w:r w:rsidRPr="00091DD6">
        <w:rPr>
          <w:rFonts w:ascii="Times New Roman" w:hAnsi="Times New Roman" w:cs="Times New Roman"/>
          <w:bCs/>
          <w:sz w:val="24"/>
          <w:szCs w:val="24"/>
        </w:rPr>
        <w:t>kapcsán elsősorban</w:t>
      </w:r>
      <w:r w:rsidRPr="00CD5481">
        <w:rPr>
          <w:rFonts w:ascii="Times New Roman" w:hAnsi="Times New Roman" w:cs="Times New Roman"/>
          <w:bCs/>
          <w:sz w:val="24"/>
          <w:szCs w:val="24"/>
        </w:rPr>
        <w:t xml:space="preserve"> </w:t>
      </w:r>
      <w:r w:rsidRPr="00CD5481">
        <w:rPr>
          <w:rFonts w:ascii="Times New Roman" w:hAnsi="Times New Roman" w:cs="Times New Roman"/>
          <w:b/>
          <w:bCs/>
          <w:sz w:val="24"/>
          <w:szCs w:val="24"/>
        </w:rPr>
        <w:t>az alábbi szempontokat, jogi kockázatokat szükséges</w:t>
      </w:r>
      <w:r w:rsidR="00A545EC">
        <w:rPr>
          <w:rFonts w:ascii="Times New Roman" w:hAnsi="Times New Roman" w:cs="Times New Roman"/>
          <w:b/>
          <w:bCs/>
          <w:sz w:val="24"/>
          <w:szCs w:val="24"/>
        </w:rPr>
        <w:t xml:space="preserve"> </w:t>
      </w:r>
      <w:r w:rsidRPr="00CD5481">
        <w:rPr>
          <w:rFonts w:ascii="Times New Roman" w:hAnsi="Times New Roman" w:cs="Times New Roman"/>
          <w:b/>
          <w:bCs/>
          <w:sz w:val="24"/>
          <w:szCs w:val="24"/>
        </w:rPr>
        <w:t>megvizsgálni</w:t>
      </w:r>
      <w:r w:rsidRPr="00CD5481">
        <w:rPr>
          <w:rFonts w:ascii="Times New Roman" w:hAnsi="Times New Roman" w:cs="Times New Roman"/>
          <w:bCs/>
          <w:sz w:val="24"/>
          <w:szCs w:val="24"/>
        </w:rPr>
        <w:t xml:space="preserve">. Az alább említett kockázatok mérlegelendők a Bolar kivétel bármilyen </w:t>
      </w:r>
      <w:r w:rsidRPr="00091DD6">
        <w:rPr>
          <w:rFonts w:ascii="Times New Roman" w:hAnsi="Times New Roman" w:cs="Times New Roman"/>
          <w:bCs/>
          <w:sz w:val="24"/>
          <w:szCs w:val="24"/>
        </w:rPr>
        <w:t>irányú módosítása</w:t>
      </w:r>
      <w:r w:rsidRPr="00CD5481">
        <w:rPr>
          <w:rFonts w:ascii="Times New Roman" w:hAnsi="Times New Roman" w:cs="Times New Roman"/>
          <w:bCs/>
          <w:sz w:val="24"/>
          <w:szCs w:val="24"/>
        </w:rPr>
        <w:t xml:space="preserve"> esetén, de </w:t>
      </w:r>
      <w:r w:rsidRPr="00091DD6">
        <w:rPr>
          <w:rFonts w:ascii="Times New Roman" w:hAnsi="Times New Roman" w:cs="Times New Roman"/>
          <w:bCs/>
          <w:sz w:val="24"/>
          <w:szCs w:val="24"/>
        </w:rPr>
        <w:t>elsősorban a</w:t>
      </w:r>
      <w:r w:rsidRPr="00CD5481">
        <w:rPr>
          <w:rFonts w:ascii="Times New Roman" w:hAnsi="Times New Roman" w:cs="Times New Roman"/>
          <w:bCs/>
          <w:sz w:val="24"/>
          <w:szCs w:val="24"/>
        </w:rPr>
        <w:t xml:space="preserve"> kivételnek az engedély kérelmezőjétől eltérő harmadik személyekre történő kiterjesztésére vonatkoznak (lásd </w:t>
      </w:r>
      <w:r w:rsidR="001B32BE">
        <w:rPr>
          <w:rFonts w:ascii="Times New Roman" w:hAnsi="Times New Roman" w:cs="Times New Roman"/>
          <w:bCs/>
          <w:sz w:val="24"/>
          <w:szCs w:val="24"/>
        </w:rPr>
        <w:t xml:space="preserve">a </w:t>
      </w:r>
      <w:r w:rsidRPr="00CD5481">
        <w:rPr>
          <w:rFonts w:ascii="Times New Roman" w:hAnsi="Times New Roman" w:cs="Times New Roman"/>
          <w:bCs/>
          <w:sz w:val="24"/>
          <w:szCs w:val="24"/>
        </w:rPr>
        <w:t>korábban bemutatott lengyel szabályozás</w:t>
      </w:r>
      <w:r w:rsidR="001B32BE">
        <w:rPr>
          <w:rFonts w:ascii="Times New Roman" w:hAnsi="Times New Roman" w:cs="Times New Roman"/>
          <w:bCs/>
          <w:sz w:val="24"/>
          <w:szCs w:val="24"/>
        </w:rPr>
        <w:t>t</w:t>
      </w:r>
      <w:r w:rsidRPr="00CD5481">
        <w:rPr>
          <w:rFonts w:ascii="Times New Roman" w:hAnsi="Times New Roman" w:cs="Times New Roman"/>
          <w:bCs/>
          <w:sz w:val="24"/>
          <w:szCs w:val="24"/>
        </w:rPr>
        <w:t xml:space="preserve">): </w:t>
      </w:r>
    </w:p>
    <w:p w14:paraId="2203C29F" w14:textId="1F858C85" w:rsidR="00091DD6" w:rsidRPr="00091DD6" w:rsidRDefault="00091DD6" w:rsidP="009B2064">
      <w:pPr>
        <w:pStyle w:val="Listaszerbekezds"/>
        <w:numPr>
          <w:ilvl w:val="0"/>
          <w:numId w:val="24"/>
        </w:numPr>
        <w:spacing w:after="0"/>
        <w:jc w:val="both"/>
        <w:rPr>
          <w:rFonts w:ascii="Times New Roman" w:hAnsi="Times New Roman" w:cs="Times New Roman"/>
          <w:b/>
          <w:bCs/>
          <w:i/>
          <w:sz w:val="24"/>
          <w:szCs w:val="24"/>
        </w:rPr>
      </w:pPr>
      <w:r w:rsidRPr="00091DD6">
        <w:rPr>
          <w:rFonts w:ascii="Times New Roman" w:hAnsi="Times New Roman" w:cs="Times New Roman"/>
          <w:bCs/>
          <w:sz w:val="24"/>
          <w:szCs w:val="24"/>
        </w:rPr>
        <w:lastRenderedPageBreak/>
        <w:t xml:space="preserve">A TRIPs Megállapodás 30. cikkéből következik, hogy a szabadalmi oltalom alóli kivételeket </w:t>
      </w:r>
      <w:r w:rsidRPr="00091DD6">
        <w:rPr>
          <w:rFonts w:ascii="Times New Roman" w:hAnsi="Times New Roman" w:cs="Times New Roman"/>
          <w:bCs/>
          <w:i/>
          <w:sz w:val="24"/>
          <w:szCs w:val="24"/>
        </w:rPr>
        <w:t>szűkkörűen</w:t>
      </w:r>
      <w:r w:rsidRPr="00091DD6">
        <w:rPr>
          <w:rFonts w:ascii="Times New Roman" w:hAnsi="Times New Roman" w:cs="Times New Roman"/>
          <w:bCs/>
          <w:sz w:val="24"/>
          <w:szCs w:val="24"/>
        </w:rPr>
        <w:t xml:space="preserve"> kell értelmezni, tehát felmerül a kérdés, hogy </w:t>
      </w:r>
      <w:r w:rsidR="003019DB">
        <w:rPr>
          <w:rFonts w:ascii="Times New Roman" w:hAnsi="Times New Roman" w:cs="Times New Roman"/>
          <w:bCs/>
          <w:sz w:val="24"/>
          <w:szCs w:val="24"/>
        </w:rPr>
        <w:t xml:space="preserve">a TRIPs megállapodásban szereplő általános </w:t>
      </w:r>
      <w:r w:rsidRPr="00091DD6">
        <w:rPr>
          <w:rFonts w:ascii="Times New Roman" w:hAnsi="Times New Roman" w:cs="Times New Roman"/>
          <w:bCs/>
          <w:sz w:val="24"/>
          <w:szCs w:val="24"/>
        </w:rPr>
        <w:t xml:space="preserve">kivétel kidolgozása során cél lehetett-e a harmadik személyekkel történő együttműködést lehetővé tevő, széles hatályú kivétel biztosítása. A kivétel ilyesfajta értelmezése ugyanis lehetőséget biztosít </w:t>
      </w:r>
      <w:r w:rsidR="001B32BE">
        <w:rPr>
          <w:rFonts w:ascii="Times New Roman" w:hAnsi="Times New Roman" w:cs="Times New Roman"/>
          <w:bCs/>
          <w:sz w:val="24"/>
          <w:szCs w:val="24"/>
        </w:rPr>
        <w:t xml:space="preserve">a </w:t>
      </w:r>
      <w:r w:rsidRPr="00091DD6">
        <w:rPr>
          <w:rFonts w:ascii="Times New Roman" w:hAnsi="Times New Roman" w:cs="Times New Roman"/>
          <w:bCs/>
          <w:sz w:val="24"/>
          <w:szCs w:val="24"/>
        </w:rPr>
        <w:t>szabadalmastól eltérő személyeknek arra, hogy a szabadalmi oltalom ideje alatt – még ha csak korlátozott mértékben és csak meghatározott célból is, de – kereskedjenek az oltalom alatt álló készítménnyel, amely ellentétes lehet a szaba</w:t>
      </w:r>
      <w:r w:rsidR="00F2487B">
        <w:rPr>
          <w:rFonts w:ascii="Times New Roman" w:hAnsi="Times New Roman" w:cs="Times New Roman"/>
          <w:bCs/>
          <w:sz w:val="24"/>
          <w:szCs w:val="24"/>
        </w:rPr>
        <w:t>dalom alapvető rendeltetésével.</w:t>
      </w:r>
    </w:p>
    <w:p w14:paraId="054E0690" w14:textId="63DC5872" w:rsidR="00091DD6" w:rsidRPr="00091DD6" w:rsidRDefault="00091DD6" w:rsidP="009B2064">
      <w:pPr>
        <w:pStyle w:val="Listaszerbekezds"/>
        <w:numPr>
          <w:ilvl w:val="0"/>
          <w:numId w:val="24"/>
        </w:numPr>
        <w:spacing w:after="0"/>
        <w:jc w:val="both"/>
        <w:rPr>
          <w:rFonts w:ascii="Times New Roman" w:hAnsi="Times New Roman" w:cs="Times New Roman"/>
          <w:bCs/>
          <w:sz w:val="24"/>
          <w:szCs w:val="24"/>
        </w:rPr>
      </w:pPr>
      <w:r w:rsidRPr="00091DD6">
        <w:rPr>
          <w:rFonts w:ascii="Times New Roman" w:hAnsi="Times New Roman" w:cs="Times New Roman"/>
          <w:bCs/>
          <w:sz w:val="24"/>
          <w:szCs w:val="24"/>
        </w:rPr>
        <w:t xml:space="preserve">Bár a kivételnek a 2001/83/EK irányelvben való általános megfogalmazása teret enged eltérő tagállami értelmezéseknek, és ebből eredően egyes tagállamok nemzeti joga szűkebben, míg mások tágabban szabályozzák a Bolar kivétel alkalmazási körét, </w:t>
      </w:r>
      <w:r w:rsidRPr="00466471">
        <w:rPr>
          <w:rFonts w:ascii="Times New Roman" w:hAnsi="Times New Roman" w:cs="Times New Roman"/>
          <w:bCs/>
          <w:iCs/>
          <w:sz w:val="24"/>
          <w:szCs w:val="24"/>
        </w:rPr>
        <w:t>ugyanakkor hangsúlyozandó, hogy</w:t>
      </w:r>
      <w:r w:rsidRPr="00091DD6">
        <w:rPr>
          <w:rFonts w:ascii="Times New Roman" w:hAnsi="Times New Roman" w:cs="Times New Roman"/>
          <w:bCs/>
          <w:i/>
          <w:sz w:val="24"/>
          <w:szCs w:val="24"/>
        </w:rPr>
        <w:t xml:space="preserve"> a kivételnek a harmadik személyekre történő kiterjesztése még a tág tagállami értelmezésektől is szélesebb hatályú kivételt biztosítana</w:t>
      </w:r>
      <w:r w:rsidRPr="00091DD6">
        <w:rPr>
          <w:rFonts w:ascii="Times New Roman" w:hAnsi="Times New Roman" w:cs="Times New Roman"/>
          <w:bCs/>
          <w:sz w:val="24"/>
          <w:szCs w:val="24"/>
        </w:rPr>
        <w:t xml:space="preserve">, ahol nemcsak a piacra lépésre való felkészüléshez állíthatná elő a generikus gyártó a hatóanyagot, hanem lehetősége nyílna arra, hogy a hatóanyagot a harmadik személy kísérletei/törzskönyvezése érdekében állítsa elő. </w:t>
      </w:r>
      <w:r w:rsidRPr="00091DD6">
        <w:rPr>
          <w:rFonts w:ascii="Times New Roman" w:hAnsi="Times New Roman" w:cs="Times New Roman"/>
          <w:b/>
          <w:bCs/>
          <w:i/>
          <w:sz w:val="24"/>
          <w:szCs w:val="24"/>
        </w:rPr>
        <w:t>Ez túlmutat az uniós tagállamok többsége által választott implementációs megoldáson és</w:t>
      </w:r>
      <w:r w:rsidR="00CF42FF" w:rsidRPr="00091DD6">
        <w:rPr>
          <w:rFonts w:ascii="Times New Roman" w:hAnsi="Times New Roman" w:cs="Times New Roman"/>
          <w:bCs/>
          <w:sz w:val="24"/>
          <w:szCs w:val="24"/>
        </w:rPr>
        <w:t xml:space="preserve"> </w:t>
      </w:r>
      <w:r w:rsidRPr="00091DD6">
        <w:rPr>
          <w:rFonts w:ascii="Times New Roman" w:hAnsi="Times New Roman" w:cs="Times New Roman"/>
          <w:b/>
          <w:bCs/>
          <w:i/>
          <w:sz w:val="24"/>
          <w:szCs w:val="24"/>
        </w:rPr>
        <w:t>a 2001/83/EK irányelv által adott felhatalmazáson,</w:t>
      </w:r>
      <w:r w:rsidR="0062215B" w:rsidRPr="00091DD6">
        <w:rPr>
          <w:rFonts w:ascii="Times New Roman" w:hAnsi="Times New Roman" w:cs="Times New Roman"/>
          <w:bCs/>
          <w:sz w:val="24"/>
          <w:szCs w:val="24"/>
          <w:vertAlign w:val="superscript"/>
        </w:rPr>
        <w:footnoteReference w:id="21"/>
      </w:r>
      <w:r w:rsidRPr="00091DD6">
        <w:rPr>
          <w:rFonts w:ascii="Times New Roman" w:hAnsi="Times New Roman" w:cs="Times New Roman"/>
          <w:b/>
          <w:bCs/>
          <w:i/>
          <w:sz w:val="24"/>
          <w:szCs w:val="24"/>
        </w:rPr>
        <w:t xml:space="preserve"> tehát az Európai Unió jogába ütközés kockázatát hordozza magában.</w:t>
      </w:r>
      <w:r w:rsidR="00267167" w:rsidRPr="00C2470A">
        <w:rPr>
          <w:rFonts w:ascii="Times New Roman" w:hAnsi="Times New Roman" w:cs="Times New Roman"/>
          <w:bCs/>
          <w:sz w:val="24"/>
          <w:szCs w:val="24"/>
          <w:vertAlign w:val="superscript"/>
        </w:rPr>
        <w:footnoteReference w:id="22"/>
      </w:r>
      <w:r w:rsidR="006E1E17">
        <w:rPr>
          <w:rFonts w:ascii="Times New Roman" w:hAnsi="Times New Roman" w:cs="Times New Roman"/>
          <w:b/>
          <w:bCs/>
          <w:i/>
          <w:sz w:val="24"/>
          <w:szCs w:val="24"/>
        </w:rPr>
        <w:t>Itt fontos utalni a Bolar kivétel 2004-es uniós szabályozását megelőző EK</w:t>
      </w:r>
      <w:r w:rsidR="00E721E5">
        <w:rPr>
          <w:rFonts w:ascii="Times New Roman" w:hAnsi="Times New Roman" w:cs="Times New Roman"/>
          <w:b/>
          <w:bCs/>
          <w:i/>
          <w:sz w:val="24"/>
          <w:szCs w:val="24"/>
        </w:rPr>
        <w:t>-</w:t>
      </w:r>
      <w:r w:rsidR="006E1E17">
        <w:rPr>
          <w:rFonts w:ascii="Times New Roman" w:hAnsi="Times New Roman" w:cs="Times New Roman"/>
          <w:b/>
          <w:bCs/>
          <w:i/>
          <w:sz w:val="24"/>
          <w:szCs w:val="24"/>
        </w:rPr>
        <w:t xml:space="preserve">Kanada között lezajló </w:t>
      </w:r>
      <w:r w:rsidR="00A545EC">
        <w:rPr>
          <w:rFonts w:ascii="Times New Roman" w:hAnsi="Times New Roman" w:cs="Times New Roman"/>
          <w:b/>
          <w:bCs/>
          <w:i/>
          <w:sz w:val="24"/>
          <w:szCs w:val="24"/>
        </w:rPr>
        <w:t xml:space="preserve">WTO </w:t>
      </w:r>
      <w:r w:rsidR="006E1E17">
        <w:rPr>
          <w:rFonts w:ascii="Times New Roman" w:hAnsi="Times New Roman" w:cs="Times New Roman"/>
          <w:b/>
          <w:bCs/>
          <w:i/>
          <w:sz w:val="24"/>
          <w:szCs w:val="24"/>
        </w:rPr>
        <w:t>vitarendezési eljárásra</w:t>
      </w:r>
      <w:r w:rsidR="004D3D5F">
        <w:rPr>
          <w:rFonts w:ascii="Times New Roman" w:hAnsi="Times New Roman" w:cs="Times New Roman"/>
          <w:b/>
          <w:bCs/>
          <w:i/>
          <w:sz w:val="24"/>
          <w:szCs w:val="24"/>
        </w:rPr>
        <w:t>, amelyben az EK</w:t>
      </w:r>
      <w:r w:rsidR="0038338B">
        <w:rPr>
          <w:rFonts w:ascii="Times New Roman" w:hAnsi="Times New Roman" w:cs="Times New Roman"/>
          <w:b/>
          <w:bCs/>
          <w:i/>
          <w:sz w:val="24"/>
          <w:szCs w:val="24"/>
        </w:rPr>
        <w:t xml:space="preserve"> szerint a vita tárgyát képező kanadai Bolar kivétel túlságosan széleskörű volt</w:t>
      </w:r>
      <w:r w:rsidR="00A0799A">
        <w:rPr>
          <w:rFonts w:ascii="Times New Roman" w:hAnsi="Times New Roman" w:cs="Times New Roman"/>
          <w:b/>
          <w:bCs/>
          <w:i/>
          <w:sz w:val="24"/>
          <w:szCs w:val="24"/>
        </w:rPr>
        <w:t>, és egyúttal</w:t>
      </w:r>
      <w:r w:rsidR="004D3D5F">
        <w:rPr>
          <w:rFonts w:ascii="Times New Roman" w:hAnsi="Times New Roman" w:cs="Times New Roman"/>
          <w:b/>
          <w:bCs/>
          <w:i/>
          <w:sz w:val="24"/>
          <w:szCs w:val="24"/>
        </w:rPr>
        <w:t xml:space="preserve"> a </w:t>
      </w:r>
      <w:r w:rsidR="00A0799A">
        <w:rPr>
          <w:rFonts w:ascii="Times New Roman" w:hAnsi="Times New Roman" w:cs="Times New Roman"/>
          <w:b/>
          <w:bCs/>
          <w:i/>
          <w:sz w:val="24"/>
          <w:szCs w:val="24"/>
        </w:rPr>
        <w:t>szabadalmi oltalom alóli kivételek</w:t>
      </w:r>
      <w:r w:rsidR="004D3D5F">
        <w:rPr>
          <w:rFonts w:ascii="Times New Roman" w:hAnsi="Times New Roman" w:cs="Times New Roman"/>
          <w:b/>
          <w:bCs/>
          <w:i/>
          <w:sz w:val="24"/>
          <w:szCs w:val="24"/>
        </w:rPr>
        <w:t xml:space="preserve"> megszorító</w:t>
      </w:r>
      <w:r w:rsidR="00A0799A">
        <w:rPr>
          <w:rFonts w:ascii="Times New Roman" w:hAnsi="Times New Roman" w:cs="Times New Roman"/>
          <w:b/>
          <w:bCs/>
          <w:i/>
          <w:sz w:val="24"/>
          <w:szCs w:val="24"/>
        </w:rPr>
        <w:t>,</w:t>
      </w:r>
      <w:r w:rsidR="004D3D5F">
        <w:rPr>
          <w:rFonts w:ascii="Times New Roman" w:hAnsi="Times New Roman" w:cs="Times New Roman"/>
          <w:b/>
          <w:bCs/>
          <w:i/>
          <w:sz w:val="24"/>
          <w:szCs w:val="24"/>
        </w:rPr>
        <w:t xml:space="preserve"> szűken vett értelmezése mellett érvelt. Ez az álláspont iránymutató jellegű lehet az irányelvi Bolar kivétel értelmezése során is, vagyis az uniós jogalkotónak feltehetően nem lehetett szándéka a kivétel megalkotás</w:t>
      </w:r>
      <w:r w:rsidR="00A545EC">
        <w:rPr>
          <w:rFonts w:ascii="Times New Roman" w:hAnsi="Times New Roman" w:cs="Times New Roman"/>
          <w:b/>
          <w:bCs/>
          <w:i/>
          <w:sz w:val="24"/>
          <w:szCs w:val="24"/>
        </w:rPr>
        <w:t>akor egy sz</w:t>
      </w:r>
      <w:r w:rsidR="00A0799A">
        <w:rPr>
          <w:rFonts w:ascii="Times New Roman" w:hAnsi="Times New Roman" w:cs="Times New Roman"/>
          <w:b/>
          <w:bCs/>
          <w:i/>
          <w:sz w:val="24"/>
          <w:szCs w:val="24"/>
        </w:rPr>
        <w:t>éle</w:t>
      </w:r>
      <w:r w:rsidR="00A545EC">
        <w:rPr>
          <w:rFonts w:ascii="Times New Roman" w:hAnsi="Times New Roman" w:cs="Times New Roman"/>
          <w:b/>
          <w:bCs/>
          <w:i/>
          <w:sz w:val="24"/>
          <w:szCs w:val="24"/>
        </w:rPr>
        <w:t>skörű kivétel biztosítása.</w:t>
      </w:r>
      <w:r w:rsidR="00A545EC" w:rsidRPr="000B47E8">
        <w:rPr>
          <w:rStyle w:val="Lbjegyzet-hivatkozs"/>
          <w:rFonts w:ascii="Times New Roman" w:hAnsi="Times New Roman" w:cs="Times New Roman"/>
          <w:bCs/>
          <w:sz w:val="24"/>
          <w:szCs w:val="24"/>
        </w:rPr>
        <w:footnoteReference w:id="23"/>
      </w:r>
    </w:p>
    <w:p w14:paraId="1501F392" w14:textId="77777777" w:rsidR="00856620" w:rsidRDefault="00911323" w:rsidP="00FE3DFF">
      <w:pPr>
        <w:pStyle w:val="Listaszerbekezds"/>
        <w:numPr>
          <w:ilvl w:val="0"/>
          <w:numId w:val="24"/>
        </w:numPr>
        <w:spacing w:after="0"/>
        <w:jc w:val="both"/>
        <w:rPr>
          <w:rFonts w:ascii="Times New Roman" w:hAnsi="Times New Roman" w:cs="Times New Roman"/>
          <w:bCs/>
          <w:sz w:val="24"/>
          <w:szCs w:val="24"/>
        </w:rPr>
      </w:pPr>
      <w:r>
        <w:rPr>
          <w:rFonts w:ascii="Times New Roman" w:hAnsi="Times New Roman" w:cs="Times New Roman"/>
          <w:bCs/>
          <w:sz w:val="24"/>
          <w:szCs w:val="24"/>
        </w:rPr>
        <w:t>Megjegyzendő továbbá</w:t>
      </w:r>
      <w:r w:rsidR="00091DD6" w:rsidRPr="00091DD6">
        <w:rPr>
          <w:rFonts w:ascii="Times New Roman" w:hAnsi="Times New Roman" w:cs="Times New Roman"/>
          <w:bCs/>
          <w:sz w:val="24"/>
          <w:szCs w:val="24"/>
        </w:rPr>
        <w:t xml:space="preserve">, hogy </w:t>
      </w:r>
      <w:r w:rsidR="00091DD6" w:rsidRPr="00091DD6">
        <w:rPr>
          <w:rFonts w:ascii="Times New Roman" w:hAnsi="Times New Roman" w:cs="Times New Roman"/>
          <w:b/>
          <w:bCs/>
          <w:i/>
          <w:sz w:val="24"/>
          <w:szCs w:val="24"/>
        </w:rPr>
        <w:t>az Európai Unió Bírósága sem értelmezte</w:t>
      </w:r>
      <w:r w:rsidR="00091DD6" w:rsidRPr="00091DD6">
        <w:rPr>
          <w:rFonts w:ascii="Times New Roman" w:hAnsi="Times New Roman" w:cs="Times New Roman"/>
          <w:bCs/>
          <w:sz w:val="24"/>
          <w:szCs w:val="24"/>
        </w:rPr>
        <w:t xml:space="preserve"> eddig az irányelvi Bolar kivételt, így ezen, az EU-ban újszerűnek számító értelmezés </w:t>
      </w:r>
      <w:r w:rsidR="00091DD6" w:rsidRPr="00091DD6">
        <w:rPr>
          <w:rFonts w:ascii="Times New Roman" w:hAnsi="Times New Roman" w:cs="Times New Roman"/>
          <w:b/>
          <w:bCs/>
          <w:i/>
          <w:sz w:val="24"/>
          <w:szCs w:val="24"/>
        </w:rPr>
        <w:t>jogszerűségével kapcsolatban egyelőre nincsen semmiféle indikáció</w:t>
      </w:r>
      <w:r w:rsidR="00091DD6" w:rsidRPr="00091DD6">
        <w:rPr>
          <w:rFonts w:ascii="Times New Roman" w:hAnsi="Times New Roman" w:cs="Times New Roman"/>
          <w:bCs/>
          <w:sz w:val="24"/>
          <w:szCs w:val="24"/>
        </w:rPr>
        <w:t xml:space="preserve">. Ugyancsak fontos szempont, hogy tudomásunk szerint </w:t>
      </w:r>
      <w:r w:rsidR="00091DD6" w:rsidRPr="00091DD6">
        <w:rPr>
          <w:rFonts w:ascii="Times New Roman" w:hAnsi="Times New Roman" w:cs="Times New Roman"/>
          <w:b/>
          <w:bCs/>
          <w:i/>
          <w:sz w:val="24"/>
          <w:szCs w:val="24"/>
        </w:rPr>
        <w:t>a hazai bírói gyakorlatban nem merült fel problémaként a Bolar kivétel személyi vagy tárgyi hatályával kapcsolatos kérdés, így a módosítás szükségessége megkérdőjelezhető</w:t>
      </w:r>
      <w:r w:rsidR="00091DD6" w:rsidRPr="00091DD6">
        <w:rPr>
          <w:rFonts w:ascii="Times New Roman" w:hAnsi="Times New Roman" w:cs="Times New Roman"/>
          <w:bCs/>
          <w:sz w:val="24"/>
          <w:szCs w:val="24"/>
        </w:rPr>
        <w:t>.</w:t>
      </w:r>
    </w:p>
    <w:p w14:paraId="535DD6B8" w14:textId="7AAA2571" w:rsidR="00856620" w:rsidRDefault="00856620">
      <w:pPr>
        <w:pStyle w:val="Listaszerbekezds"/>
        <w:spacing w:after="0"/>
        <w:ind w:left="480"/>
        <w:jc w:val="both"/>
        <w:rPr>
          <w:rFonts w:ascii="Times New Roman" w:hAnsi="Times New Roman" w:cs="Times New Roman"/>
          <w:bCs/>
          <w:sz w:val="24"/>
          <w:szCs w:val="24"/>
        </w:rPr>
      </w:pPr>
    </w:p>
    <w:p w14:paraId="72375BED" w14:textId="634B1D90" w:rsidR="00FE3DFF" w:rsidRDefault="00AA700B" w:rsidP="009B2064">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A</w:t>
      </w:r>
      <w:r w:rsidR="00603D06">
        <w:rPr>
          <w:rFonts w:ascii="Times New Roman" w:hAnsi="Times New Roman" w:cs="Times New Roman"/>
          <w:bCs/>
          <w:sz w:val="24"/>
          <w:szCs w:val="24"/>
        </w:rPr>
        <w:t>z Innovációs és Technológiai Minisztérium előzetes állásfoglalása alapján</w:t>
      </w:r>
      <w:r w:rsidR="00FE3DFF">
        <w:rPr>
          <w:rFonts w:ascii="Times New Roman" w:hAnsi="Times New Roman" w:cs="Times New Roman"/>
          <w:bCs/>
          <w:sz w:val="24"/>
          <w:szCs w:val="24"/>
        </w:rPr>
        <w:t xml:space="preserve"> a</w:t>
      </w:r>
      <w:r>
        <w:rPr>
          <w:rFonts w:ascii="Times New Roman" w:hAnsi="Times New Roman" w:cs="Times New Roman"/>
          <w:bCs/>
          <w:sz w:val="24"/>
          <w:szCs w:val="24"/>
        </w:rPr>
        <w:t xml:space="preserve"> jogi aggályokon túlmenően </w:t>
      </w:r>
      <w:r w:rsidRPr="00AA700B">
        <w:rPr>
          <w:rFonts w:ascii="Times New Roman" w:hAnsi="Times New Roman" w:cs="Times New Roman"/>
          <w:bCs/>
          <w:sz w:val="24"/>
          <w:szCs w:val="24"/>
        </w:rPr>
        <w:t>azt is szem előtt kell tartani, hogy egyetlen iparágnak sem lehet hosszú</w:t>
      </w:r>
      <w:r w:rsidR="00FE3DFF">
        <w:rPr>
          <w:rFonts w:ascii="Times New Roman" w:hAnsi="Times New Roman" w:cs="Times New Roman"/>
          <w:bCs/>
          <w:sz w:val="24"/>
          <w:szCs w:val="24"/>
        </w:rPr>
        <w:t xml:space="preserve"> </w:t>
      </w:r>
      <w:r w:rsidRPr="00AA700B">
        <w:rPr>
          <w:rFonts w:ascii="Times New Roman" w:hAnsi="Times New Roman" w:cs="Times New Roman"/>
          <w:bCs/>
          <w:sz w:val="24"/>
          <w:szCs w:val="24"/>
        </w:rPr>
        <w:t xml:space="preserve">távú érdeke, hogy olyan szabályozás kerüljön bevezetésre, amely jelentősen gyengítené a szabadalmi jogokat. </w:t>
      </w:r>
      <w:r w:rsidR="00745025">
        <w:rPr>
          <w:rFonts w:ascii="Times New Roman" w:hAnsi="Times New Roman" w:cs="Times New Roman"/>
          <w:bCs/>
          <w:sz w:val="24"/>
          <w:szCs w:val="24"/>
        </w:rPr>
        <w:t>A hatékony szabadalmi oltalom által biztosított ösztönzők hiányában</w:t>
      </w:r>
      <w:r w:rsidR="00745025" w:rsidRPr="00AA700B">
        <w:rPr>
          <w:rFonts w:ascii="Times New Roman" w:hAnsi="Times New Roman" w:cs="Times New Roman"/>
          <w:bCs/>
          <w:sz w:val="24"/>
          <w:szCs w:val="24"/>
        </w:rPr>
        <w:t xml:space="preserve"> </w:t>
      </w:r>
      <w:r w:rsidRPr="00AA700B">
        <w:rPr>
          <w:rFonts w:ascii="Times New Roman" w:hAnsi="Times New Roman" w:cs="Times New Roman"/>
          <w:bCs/>
          <w:sz w:val="24"/>
          <w:szCs w:val="24"/>
        </w:rPr>
        <w:t xml:space="preserve">ugyanis </w:t>
      </w:r>
      <w:r w:rsidR="00745025">
        <w:rPr>
          <w:rFonts w:ascii="Times New Roman" w:hAnsi="Times New Roman" w:cs="Times New Roman"/>
          <w:bCs/>
          <w:sz w:val="24"/>
          <w:szCs w:val="24"/>
        </w:rPr>
        <w:t>visszaeshet</w:t>
      </w:r>
      <w:r w:rsidR="00745025" w:rsidRPr="00AA700B">
        <w:rPr>
          <w:rFonts w:ascii="Times New Roman" w:hAnsi="Times New Roman" w:cs="Times New Roman"/>
          <w:bCs/>
          <w:sz w:val="24"/>
          <w:szCs w:val="24"/>
        </w:rPr>
        <w:t xml:space="preserve"> </w:t>
      </w:r>
      <w:r w:rsidRPr="00AA700B">
        <w:rPr>
          <w:rFonts w:ascii="Times New Roman" w:hAnsi="Times New Roman" w:cs="Times New Roman"/>
          <w:bCs/>
          <w:sz w:val="24"/>
          <w:szCs w:val="24"/>
        </w:rPr>
        <w:t>az</w:t>
      </w:r>
      <w:r w:rsidR="00745025">
        <w:rPr>
          <w:rFonts w:ascii="Times New Roman" w:hAnsi="Times New Roman" w:cs="Times New Roman"/>
          <w:bCs/>
          <w:sz w:val="24"/>
          <w:szCs w:val="24"/>
        </w:rPr>
        <w:t xml:space="preserve"> érintett</w:t>
      </w:r>
      <w:r w:rsidRPr="00AA700B">
        <w:rPr>
          <w:rFonts w:ascii="Times New Roman" w:hAnsi="Times New Roman" w:cs="Times New Roman"/>
          <w:bCs/>
          <w:sz w:val="24"/>
          <w:szCs w:val="24"/>
        </w:rPr>
        <w:t xml:space="preserve"> ágazat</w:t>
      </w:r>
      <w:r w:rsidR="00745025">
        <w:rPr>
          <w:rFonts w:ascii="Times New Roman" w:hAnsi="Times New Roman" w:cs="Times New Roman"/>
          <w:bCs/>
          <w:sz w:val="24"/>
          <w:szCs w:val="24"/>
        </w:rPr>
        <w:t>ok</w:t>
      </w:r>
      <w:r w:rsidRPr="00AA700B">
        <w:rPr>
          <w:rFonts w:ascii="Times New Roman" w:hAnsi="Times New Roman" w:cs="Times New Roman"/>
          <w:bCs/>
          <w:sz w:val="24"/>
          <w:szCs w:val="24"/>
        </w:rPr>
        <w:t xml:space="preserve"> fejlődése</w:t>
      </w:r>
      <w:r w:rsidR="00FE3DFF">
        <w:rPr>
          <w:rFonts w:ascii="Times New Roman" w:hAnsi="Times New Roman" w:cs="Times New Roman"/>
          <w:bCs/>
          <w:sz w:val="24"/>
          <w:szCs w:val="24"/>
        </w:rPr>
        <w:t>,</w:t>
      </w:r>
      <w:r w:rsidRPr="00AA700B">
        <w:rPr>
          <w:rFonts w:ascii="Times New Roman" w:hAnsi="Times New Roman" w:cs="Times New Roman"/>
          <w:bCs/>
          <w:sz w:val="24"/>
          <w:szCs w:val="24"/>
        </w:rPr>
        <w:t xml:space="preserve"> </w:t>
      </w:r>
      <w:r w:rsidR="00FE3DFF">
        <w:rPr>
          <w:rFonts w:ascii="Times New Roman" w:hAnsi="Times New Roman" w:cs="Times New Roman"/>
          <w:bCs/>
          <w:sz w:val="24"/>
          <w:szCs w:val="24"/>
        </w:rPr>
        <w:t>e</w:t>
      </w:r>
      <w:r w:rsidR="00FE3DFF" w:rsidRPr="00AA700B">
        <w:rPr>
          <w:rFonts w:ascii="Times New Roman" w:hAnsi="Times New Roman" w:cs="Times New Roman"/>
          <w:bCs/>
          <w:sz w:val="24"/>
          <w:szCs w:val="24"/>
        </w:rPr>
        <w:t xml:space="preserve">gy </w:t>
      </w:r>
      <w:r w:rsidRPr="00AA700B">
        <w:rPr>
          <w:rFonts w:ascii="Times New Roman" w:hAnsi="Times New Roman" w:cs="Times New Roman"/>
          <w:bCs/>
          <w:sz w:val="24"/>
          <w:szCs w:val="24"/>
        </w:rPr>
        <w:t>túlzottan megengedő szabályozás akár akadályozhatja is a sokkal jövedelmezőbb, a világ élvonalához tartozó ipari kapacitások kiépülését</w:t>
      </w:r>
      <w:r w:rsidR="00FE3DFF">
        <w:rPr>
          <w:rFonts w:ascii="Times New Roman" w:hAnsi="Times New Roman" w:cs="Times New Roman"/>
          <w:bCs/>
          <w:sz w:val="24"/>
          <w:szCs w:val="24"/>
        </w:rPr>
        <w:t>.</w:t>
      </w:r>
      <w:r w:rsidR="00FE3DFF">
        <w:rPr>
          <w:rStyle w:val="Lbjegyzet-hivatkozs"/>
          <w:rFonts w:ascii="Times New Roman" w:hAnsi="Times New Roman" w:cs="Times New Roman"/>
          <w:bCs/>
          <w:sz w:val="24"/>
          <w:szCs w:val="24"/>
        </w:rPr>
        <w:footnoteReference w:id="24"/>
      </w:r>
    </w:p>
    <w:p w14:paraId="06304A9F" w14:textId="77777777" w:rsidR="00856620" w:rsidRPr="009B2064" w:rsidRDefault="00856620" w:rsidP="009B2064">
      <w:pPr>
        <w:spacing w:after="0"/>
        <w:jc w:val="both"/>
        <w:rPr>
          <w:rFonts w:ascii="Times New Roman" w:hAnsi="Times New Roman" w:cs="Times New Roman"/>
          <w:bCs/>
          <w:sz w:val="24"/>
          <w:szCs w:val="24"/>
        </w:rPr>
      </w:pPr>
    </w:p>
    <w:p w14:paraId="573F8855" w14:textId="06E9D35A" w:rsidR="00260306" w:rsidRPr="00E721E5" w:rsidRDefault="00856620" w:rsidP="00FE3DFF">
      <w:pPr>
        <w:spacing w:after="0"/>
        <w:ind w:left="120"/>
        <w:jc w:val="both"/>
        <w:rPr>
          <w:rFonts w:ascii="Times New Roman" w:hAnsi="Times New Roman" w:cs="Times New Roman"/>
          <w:bCs/>
          <w:sz w:val="24"/>
          <w:szCs w:val="24"/>
        </w:rPr>
      </w:pPr>
      <w:r w:rsidRPr="00E721E5">
        <w:rPr>
          <w:rFonts w:ascii="Times New Roman" w:hAnsi="Times New Roman" w:cs="Times New Roman"/>
          <w:b/>
          <w:bCs/>
          <w:sz w:val="24"/>
          <w:szCs w:val="24"/>
        </w:rPr>
        <w:t>3.2.</w:t>
      </w:r>
      <w:r w:rsidRPr="00E721E5">
        <w:rPr>
          <w:rFonts w:ascii="Times New Roman" w:hAnsi="Times New Roman" w:cs="Times New Roman"/>
          <w:bCs/>
          <w:sz w:val="24"/>
          <w:szCs w:val="24"/>
        </w:rPr>
        <w:t xml:space="preserve"> </w:t>
      </w:r>
      <w:r w:rsidR="00260306" w:rsidRPr="00E721E5">
        <w:rPr>
          <w:rFonts w:ascii="Times New Roman" w:hAnsi="Times New Roman" w:cs="Times New Roman"/>
          <w:b/>
          <w:sz w:val="24"/>
          <w:szCs w:val="24"/>
        </w:rPr>
        <w:t>Konklúzió, és a felülvizsgálat lehetséges irányai</w:t>
      </w:r>
    </w:p>
    <w:p w14:paraId="3B5DFB46" w14:textId="77777777" w:rsidR="00260306" w:rsidRPr="00260306" w:rsidRDefault="00260306" w:rsidP="009B2064">
      <w:pPr>
        <w:pStyle w:val="Listaszerbekezds"/>
        <w:spacing w:after="0"/>
        <w:ind w:left="0"/>
        <w:jc w:val="both"/>
        <w:rPr>
          <w:rFonts w:ascii="Times New Roman" w:hAnsi="Times New Roman" w:cs="Times New Roman"/>
          <w:b/>
          <w:sz w:val="24"/>
          <w:szCs w:val="24"/>
        </w:rPr>
      </w:pPr>
    </w:p>
    <w:p w14:paraId="30857653" w14:textId="007A447F" w:rsidR="002403DB" w:rsidRPr="002403DB" w:rsidRDefault="00260306" w:rsidP="009B2064">
      <w:pPr>
        <w:spacing w:after="0"/>
        <w:jc w:val="both"/>
        <w:rPr>
          <w:rFonts w:ascii="Times New Roman" w:hAnsi="Times New Roman" w:cs="Times New Roman"/>
          <w:sz w:val="24"/>
          <w:szCs w:val="24"/>
        </w:rPr>
      </w:pPr>
      <w:r>
        <w:rPr>
          <w:rFonts w:ascii="Times New Roman" w:hAnsi="Times New Roman" w:cs="Times New Roman"/>
          <w:sz w:val="24"/>
          <w:szCs w:val="24"/>
        </w:rPr>
        <w:t>A fentiek</w:t>
      </w:r>
      <w:r w:rsidR="00D7625B">
        <w:rPr>
          <w:rFonts w:ascii="Times New Roman" w:hAnsi="Times New Roman" w:cs="Times New Roman"/>
          <w:sz w:val="24"/>
          <w:szCs w:val="24"/>
        </w:rPr>
        <w:t xml:space="preserve"> alapján</w:t>
      </w:r>
      <w:r>
        <w:rPr>
          <w:rFonts w:ascii="Times New Roman" w:hAnsi="Times New Roman" w:cs="Times New Roman"/>
          <w:sz w:val="24"/>
          <w:szCs w:val="24"/>
        </w:rPr>
        <w:t xml:space="preserve"> látható, hogy a Bolar kivétel hazai szabályozásának felülvizsgálata </w:t>
      </w:r>
      <w:r w:rsidR="00D7625B">
        <w:rPr>
          <w:rFonts w:ascii="Times New Roman" w:hAnsi="Times New Roman" w:cs="Times New Roman"/>
          <w:sz w:val="24"/>
          <w:szCs w:val="24"/>
        </w:rPr>
        <w:t>számos</w:t>
      </w:r>
      <w:r w:rsidRPr="000D248E">
        <w:rPr>
          <w:rFonts w:ascii="Times New Roman" w:hAnsi="Times New Roman" w:cs="Times New Roman"/>
          <w:sz w:val="24"/>
          <w:szCs w:val="24"/>
        </w:rPr>
        <w:t xml:space="preserve"> kérdést vet fel, amelyek tisztázása alapvető jelentőségű ahhoz, hogy a jogalkotó megalapozott döntést hozhasson a jelenleg hatályos szabályok módosításának szükségessége és esetleges módja tekintetében.</w:t>
      </w:r>
    </w:p>
    <w:p w14:paraId="4F426AA2" w14:textId="4CFEFA7A" w:rsidR="00E721E5" w:rsidRPr="00C0207B" w:rsidRDefault="00260306" w:rsidP="009B2064">
      <w:pPr>
        <w:spacing w:after="0"/>
        <w:jc w:val="both"/>
        <w:rPr>
          <w:rFonts w:ascii="Times New Roman" w:hAnsi="Times New Roman" w:cs="Times New Roman"/>
          <w:sz w:val="24"/>
          <w:szCs w:val="24"/>
        </w:rPr>
      </w:pPr>
      <w:r w:rsidRPr="000D248E">
        <w:rPr>
          <w:rFonts w:ascii="Times New Roman" w:hAnsi="Times New Roman" w:cs="Times New Roman"/>
          <w:sz w:val="24"/>
          <w:szCs w:val="24"/>
        </w:rPr>
        <w:t xml:space="preserve">A jelen vitaanyaggal kezdeményezett szakmai/társadalmi párbeszéd tehát azt célozza, hogy az IM további információkat kapjon a jelenlegi </w:t>
      </w:r>
      <w:r w:rsidR="00C0207B">
        <w:rPr>
          <w:rFonts w:ascii="Times New Roman" w:hAnsi="Times New Roman" w:cs="Times New Roman"/>
          <w:sz w:val="24"/>
          <w:szCs w:val="24"/>
        </w:rPr>
        <w:t xml:space="preserve">szabályozással kapcsolatos iparági tapasztalatokról, álláspontról, </w:t>
      </w:r>
      <w:r w:rsidRPr="000D248E">
        <w:rPr>
          <w:rFonts w:ascii="Times New Roman" w:hAnsi="Times New Roman" w:cs="Times New Roman"/>
          <w:sz w:val="24"/>
          <w:szCs w:val="24"/>
        </w:rPr>
        <w:t>és ez alapján felmérje, hogy</w:t>
      </w:r>
      <w:r w:rsidR="00D06955">
        <w:rPr>
          <w:rFonts w:ascii="Times New Roman" w:hAnsi="Times New Roman" w:cs="Times New Roman"/>
          <w:sz w:val="24"/>
          <w:szCs w:val="24"/>
        </w:rPr>
        <w:t xml:space="preserve"> indokolt-e </w:t>
      </w:r>
      <w:r w:rsidRPr="000D248E">
        <w:rPr>
          <w:rFonts w:ascii="Times New Roman" w:hAnsi="Times New Roman" w:cs="Times New Roman"/>
          <w:sz w:val="24"/>
          <w:szCs w:val="24"/>
        </w:rPr>
        <w:t xml:space="preserve">a hatályos szabályozás felülvizsgálata. </w:t>
      </w:r>
      <w:r w:rsidRPr="00C2470A">
        <w:rPr>
          <w:rFonts w:ascii="Times New Roman" w:hAnsi="Times New Roman" w:cs="Times New Roman"/>
          <w:b/>
          <w:sz w:val="24"/>
          <w:szCs w:val="24"/>
        </w:rPr>
        <w:t>Az alábbiakban felvázolt alternatívák az IM által eddig azonosított gondolkodási irányokat jelölnek, és a társadalmi vitát követően kerülhet sor azon döntés meghozatalára, hogy melyik irányt kövessük.</w:t>
      </w:r>
      <w:r w:rsidRPr="000D248E">
        <w:rPr>
          <w:rFonts w:ascii="Times New Roman" w:hAnsi="Times New Roman" w:cs="Times New Roman"/>
          <w:sz w:val="24"/>
          <w:szCs w:val="24"/>
        </w:rPr>
        <w:t xml:space="preserve"> </w:t>
      </w:r>
    </w:p>
    <w:p w14:paraId="5A041A10" w14:textId="77777777" w:rsidR="00C0207B" w:rsidRDefault="00C0207B" w:rsidP="00FE3DFF">
      <w:pPr>
        <w:pStyle w:val="Listaszerbekezds"/>
        <w:spacing w:after="0"/>
        <w:ind w:left="0"/>
        <w:jc w:val="both"/>
        <w:rPr>
          <w:rFonts w:ascii="Times New Roman" w:hAnsi="Times New Roman" w:cs="Times New Roman"/>
          <w:sz w:val="24"/>
          <w:szCs w:val="24"/>
        </w:rPr>
      </w:pPr>
    </w:p>
    <w:p w14:paraId="75D4CE26" w14:textId="4CB42042" w:rsidR="00856620" w:rsidRDefault="00C0207B">
      <w:pPr>
        <w:pStyle w:val="Listaszerbekezds"/>
        <w:numPr>
          <w:ilvl w:val="0"/>
          <w:numId w:val="18"/>
        </w:numPr>
        <w:spacing w:after="0"/>
        <w:jc w:val="both"/>
        <w:rPr>
          <w:rFonts w:ascii="Times New Roman" w:hAnsi="Times New Roman" w:cs="Times New Roman"/>
          <w:sz w:val="24"/>
          <w:szCs w:val="24"/>
        </w:rPr>
      </w:pPr>
      <w:r w:rsidRPr="000D248E">
        <w:rPr>
          <w:rFonts w:ascii="Times New Roman" w:hAnsi="Times New Roman" w:cs="Times New Roman"/>
          <w:b/>
          <w:sz w:val="24"/>
          <w:szCs w:val="24"/>
        </w:rPr>
        <w:t>alternatíva</w:t>
      </w:r>
      <w:r>
        <w:rPr>
          <w:rFonts w:ascii="Times New Roman" w:hAnsi="Times New Roman" w:cs="Times New Roman"/>
          <w:sz w:val="24"/>
          <w:szCs w:val="24"/>
        </w:rPr>
        <w:t xml:space="preserve">: </w:t>
      </w:r>
      <w:r w:rsidR="0058419C" w:rsidRPr="00466471">
        <w:rPr>
          <w:rFonts w:ascii="Times New Roman" w:hAnsi="Times New Roman" w:cs="Times New Roman"/>
          <w:b/>
          <w:bCs/>
          <w:sz w:val="24"/>
          <w:szCs w:val="24"/>
        </w:rPr>
        <w:t xml:space="preserve">nem indokolt </w:t>
      </w:r>
      <w:r w:rsidRPr="00466471">
        <w:rPr>
          <w:rFonts w:ascii="Times New Roman" w:hAnsi="Times New Roman" w:cs="Times New Roman"/>
          <w:b/>
          <w:bCs/>
          <w:sz w:val="24"/>
          <w:szCs w:val="24"/>
        </w:rPr>
        <w:t>a Bolar kivétel hatályos szabályozásának módosítása</w:t>
      </w:r>
      <w:r>
        <w:rPr>
          <w:rFonts w:ascii="Times New Roman" w:hAnsi="Times New Roman" w:cs="Times New Roman"/>
          <w:sz w:val="24"/>
          <w:szCs w:val="24"/>
        </w:rPr>
        <w:t xml:space="preserve">, mert a jelenlegi </w:t>
      </w:r>
      <w:r w:rsidR="00202E1D">
        <w:rPr>
          <w:rFonts w:ascii="Times New Roman" w:hAnsi="Times New Roman" w:cs="Times New Roman"/>
          <w:sz w:val="24"/>
          <w:szCs w:val="24"/>
        </w:rPr>
        <w:t>szabályozás az</w:t>
      </w:r>
      <w:r w:rsidR="00D704C9">
        <w:rPr>
          <w:rFonts w:ascii="Times New Roman" w:hAnsi="Times New Roman" w:cs="Times New Roman"/>
          <w:sz w:val="24"/>
          <w:szCs w:val="24"/>
        </w:rPr>
        <w:t xml:space="preserve"> érintett szakmai és iparági szereplők visszajelzései alapján megfelelő hátteret biztosít az érintett iparágak hatékony működéséhez</w:t>
      </w:r>
      <w:r w:rsidR="0058419C">
        <w:rPr>
          <w:rFonts w:ascii="Times New Roman" w:hAnsi="Times New Roman" w:cs="Times New Roman"/>
          <w:sz w:val="24"/>
          <w:szCs w:val="24"/>
        </w:rPr>
        <w:t>,</w:t>
      </w:r>
      <w:r w:rsidR="00D704C9" w:rsidRPr="00D704C9">
        <w:rPr>
          <w:rFonts w:ascii="Times New Roman" w:hAnsi="Times New Roman" w:cs="Times New Roman"/>
          <w:sz w:val="24"/>
          <w:szCs w:val="24"/>
        </w:rPr>
        <w:t xml:space="preserve"> figyelembe véve</w:t>
      </w:r>
      <w:r w:rsidR="00D704C9">
        <w:rPr>
          <w:rFonts w:ascii="Times New Roman" w:hAnsi="Times New Roman" w:cs="Times New Roman"/>
          <w:sz w:val="24"/>
          <w:szCs w:val="24"/>
        </w:rPr>
        <w:t xml:space="preserve"> </w:t>
      </w:r>
      <w:r w:rsidR="0058419C">
        <w:rPr>
          <w:rFonts w:ascii="Times New Roman" w:hAnsi="Times New Roman" w:cs="Times New Roman"/>
          <w:sz w:val="24"/>
          <w:szCs w:val="24"/>
        </w:rPr>
        <w:t xml:space="preserve">a </w:t>
      </w:r>
      <w:r w:rsidR="00D704C9">
        <w:rPr>
          <w:rFonts w:ascii="Times New Roman" w:hAnsi="Times New Roman" w:cs="Times New Roman"/>
          <w:sz w:val="24"/>
          <w:szCs w:val="24"/>
        </w:rPr>
        <w:t>versenyképességi szempontok</w:t>
      </w:r>
      <w:r w:rsidR="00202E1D">
        <w:rPr>
          <w:rFonts w:ascii="Times New Roman" w:hAnsi="Times New Roman" w:cs="Times New Roman"/>
          <w:sz w:val="24"/>
          <w:szCs w:val="24"/>
        </w:rPr>
        <w:t xml:space="preserve">at, valamint </w:t>
      </w:r>
      <w:r w:rsidR="00202E1D" w:rsidRPr="00D704C9">
        <w:rPr>
          <w:rFonts w:ascii="Times New Roman" w:hAnsi="Times New Roman" w:cs="Times New Roman"/>
          <w:sz w:val="24"/>
          <w:szCs w:val="24"/>
        </w:rPr>
        <w:t>Magyarország</w:t>
      </w:r>
      <w:r w:rsidR="00D704C9" w:rsidRPr="00D704C9">
        <w:rPr>
          <w:rFonts w:ascii="Times New Roman" w:hAnsi="Times New Roman" w:cs="Times New Roman"/>
          <w:sz w:val="24"/>
          <w:szCs w:val="24"/>
        </w:rPr>
        <w:t xml:space="preserve"> nemzetközi és uniós jogi kötelezettségeit is</w:t>
      </w:r>
      <w:r w:rsidR="00202E1D">
        <w:rPr>
          <w:rFonts w:ascii="Times New Roman" w:hAnsi="Times New Roman" w:cs="Times New Roman"/>
          <w:sz w:val="24"/>
          <w:szCs w:val="24"/>
        </w:rPr>
        <w:t>.</w:t>
      </w:r>
    </w:p>
    <w:p w14:paraId="3C4360EC" w14:textId="35465307" w:rsidR="00856620" w:rsidRDefault="00202E1D">
      <w:pPr>
        <w:pStyle w:val="Listaszerbekezds"/>
        <w:numPr>
          <w:ilvl w:val="0"/>
          <w:numId w:val="18"/>
        </w:numPr>
        <w:spacing w:after="0"/>
        <w:jc w:val="both"/>
        <w:rPr>
          <w:rFonts w:ascii="Times New Roman" w:hAnsi="Times New Roman" w:cs="Times New Roman"/>
          <w:sz w:val="24"/>
          <w:szCs w:val="24"/>
        </w:rPr>
      </w:pPr>
      <w:r w:rsidRPr="000D248E">
        <w:rPr>
          <w:rFonts w:ascii="Times New Roman" w:hAnsi="Times New Roman" w:cs="Times New Roman"/>
          <w:b/>
          <w:sz w:val="24"/>
          <w:szCs w:val="24"/>
        </w:rPr>
        <w:t>alternatíva</w:t>
      </w:r>
      <w:r w:rsidR="00C66FC8" w:rsidRPr="000D248E">
        <w:rPr>
          <w:rFonts w:ascii="Times New Roman" w:hAnsi="Times New Roman" w:cs="Times New Roman"/>
          <w:b/>
          <w:sz w:val="24"/>
          <w:szCs w:val="24"/>
        </w:rPr>
        <w:t>: a</w:t>
      </w:r>
      <w:r w:rsidRPr="000D248E">
        <w:rPr>
          <w:rFonts w:ascii="Times New Roman" w:hAnsi="Times New Roman" w:cs="Times New Roman"/>
          <w:b/>
          <w:sz w:val="24"/>
          <w:szCs w:val="24"/>
        </w:rPr>
        <w:t xml:space="preserve"> Bolar kivétel hatályos szabályozásának módosítása indokolt</w:t>
      </w:r>
      <w:r w:rsidRPr="00466471">
        <w:rPr>
          <w:rFonts w:ascii="Times New Roman" w:hAnsi="Times New Roman" w:cs="Times New Roman"/>
          <w:bCs/>
          <w:sz w:val="24"/>
          <w:szCs w:val="24"/>
        </w:rPr>
        <w:t>, mert</w:t>
      </w:r>
      <w:r w:rsidRPr="000D248E">
        <w:rPr>
          <w:rFonts w:ascii="Times New Roman" w:hAnsi="Times New Roman" w:cs="Times New Roman"/>
          <w:sz w:val="24"/>
          <w:szCs w:val="24"/>
        </w:rPr>
        <w:t xml:space="preserve"> ann</w:t>
      </w:r>
      <w:r w:rsidR="00AF4675" w:rsidRPr="000D248E">
        <w:rPr>
          <w:rFonts w:ascii="Times New Roman" w:hAnsi="Times New Roman" w:cs="Times New Roman"/>
          <w:sz w:val="24"/>
          <w:szCs w:val="24"/>
        </w:rPr>
        <w:t>ak jelenlegi szabályozás</w:t>
      </w:r>
      <w:r w:rsidR="00237525" w:rsidRPr="000D248E">
        <w:rPr>
          <w:rFonts w:ascii="Times New Roman" w:hAnsi="Times New Roman" w:cs="Times New Roman"/>
          <w:sz w:val="24"/>
          <w:szCs w:val="24"/>
        </w:rPr>
        <w:t>a</w:t>
      </w:r>
      <w:r w:rsidR="00AF4675" w:rsidRPr="000D248E">
        <w:rPr>
          <w:rFonts w:ascii="Times New Roman" w:hAnsi="Times New Roman" w:cs="Times New Roman"/>
          <w:sz w:val="24"/>
          <w:szCs w:val="24"/>
        </w:rPr>
        <w:t xml:space="preserve"> többféle értelmezésnek is teret enged, és ez </w:t>
      </w:r>
      <w:r w:rsidRPr="000D248E">
        <w:rPr>
          <w:rFonts w:ascii="Times New Roman" w:hAnsi="Times New Roman" w:cs="Times New Roman"/>
          <w:sz w:val="24"/>
          <w:szCs w:val="24"/>
        </w:rPr>
        <w:t>az érintett szakmai és iparági szereplők visszajelzései alapján</w:t>
      </w:r>
      <w:r w:rsidR="00237525" w:rsidRPr="000D248E">
        <w:rPr>
          <w:rFonts w:ascii="Times New Roman" w:hAnsi="Times New Roman" w:cs="Times New Roman"/>
          <w:sz w:val="24"/>
          <w:szCs w:val="24"/>
        </w:rPr>
        <w:t xml:space="preserve"> jogér</w:t>
      </w:r>
      <w:r w:rsidR="00AF4675" w:rsidRPr="000D248E">
        <w:rPr>
          <w:rFonts w:ascii="Times New Roman" w:hAnsi="Times New Roman" w:cs="Times New Roman"/>
          <w:sz w:val="24"/>
          <w:szCs w:val="24"/>
        </w:rPr>
        <w:t>t</w:t>
      </w:r>
      <w:r w:rsidR="00237525" w:rsidRPr="000D248E">
        <w:rPr>
          <w:rFonts w:ascii="Times New Roman" w:hAnsi="Times New Roman" w:cs="Times New Roman"/>
          <w:sz w:val="24"/>
          <w:szCs w:val="24"/>
        </w:rPr>
        <w:t xml:space="preserve">elmezési problémákhoz </w:t>
      </w:r>
      <w:r w:rsidR="00F73CA6" w:rsidRPr="000D248E">
        <w:rPr>
          <w:rFonts w:ascii="Times New Roman" w:hAnsi="Times New Roman" w:cs="Times New Roman"/>
          <w:sz w:val="24"/>
          <w:szCs w:val="24"/>
        </w:rPr>
        <w:t xml:space="preserve">és gyakorlati nehézségekhez vezet. Ezen alternatíva </w:t>
      </w:r>
      <w:r w:rsidR="0058419C">
        <w:rPr>
          <w:rFonts w:ascii="Times New Roman" w:hAnsi="Times New Roman" w:cs="Times New Roman"/>
          <w:sz w:val="24"/>
          <w:szCs w:val="24"/>
        </w:rPr>
        <w:t>tekintetében</w:t>
      </w:r>
      <w:r w:rsidR="0058419C" w:rsidRPr="000D248E">
        <w:rPr>
          <w:rFonts w:ascii="Times New Roman" w:hAnsi="Times New Roman" w:cs="Times New Roman"/>
          <w:sz w:val="24"/>
          <w:szCs w:val="24"/>
        </w:rPr>
        <w:t xml:space="preserve"> </w:t>
      </w:r>
      <w:r w:rsidR="00F73CA6" w:rsidRPr="000D248E">
        <w:rPr>
          <w:rFonts w:ascii="Times New Roman" w:hAnsi="Times New Roman" w:cs="Times New Roman"/>
          <w:sz w:val="24"/>
          <w:szCs w:val="24"/>
        </w:rPr>
        <w:t xml:space="preserve">az IM az alábbi – egymástól elkülönítetten is kezelhető </w:t>
      </w:r>
      <w:r w:rsidR="004A0F12" w:rsidRPr="000D248E">
        <w:rPr>
          <w:rFonts w:ascii="Times New Roman" w:hAnsi="Times New Roman" w:cs="Times New Roman"/>
          <w:sz w:val="24"/>
          <w:szCs w:val="24"/>
        </w:rPr>
        <w:t>– módosítási irányokat azonosította:</w:t>
      </w:r>
    </w:p>
    <w:p w14:paraId="6095375B" w14:textId="3DA4D58B" w:rsidR="00C52741" w:rsidRPr="00856620" w:rsidRDefault="004A0F12">
      <w:pPr>
        <w:pStyle w:val="Listaszerbekezds"/>
        <w:spacing w:after="0"/>
        <w:ind w:left="708"/>
        <w:jc w:val="both"/>
        <w:rPr>
          <w:rFonts w:ascii="Times New Roman" w:hAnsi="Times New Roman" w:cs="Times New Roman"/>
          <w:sz w:val="24"/>
          <w:szCs w:val="24"/>
        </w:rPr>
      </w:pPr>
      <w:r w:rsidRPr="000D248E">
        <w:rPr>
          <w:rFonts w:ascii="Times New Roman" w:hAnsi="Times New Roman" w:cs="Times New Roman"/>
          <w:b/>
          <w:sz w:val="24"/>
          <w:szCs w:val="24"/>
        </w:rPr>
        <w:t xml:space="preserve">a)  </w:t>
      </w:r>
      <w:r w:rsidR="00C62AD5" w:rsidRPr="000D248E">
        <w:rPr>
          <w:rFonts w:ascii="Times New Roman" w:hAnsi="Times New Roman" w:cs="Times New Roman"/>
          <w:b/>
          <w:sz w:val="24"/>
          <w:szCs w:val="24"/>
        </w:rPr>
        <w:t>Az Szt.</w:t>
      </w:r>
      <w:r w:rsidR="00C52741" w:rsidRPr="000D248E">
        <w:rPr>
          <w:rFonts w:ascii="Times New Roman" w:hAnsi="Times New Roman" w:cs="Times New Roman"/>
          <w:b/>
          <w:sz w:val="24"/>
          <w:szCs w:val="24"/>
        </w:rPr>
        <w:t>-ben található</w:t>
      </w:r>
      <w:r w:rsidR="00FF1870" w:rsidRPr="000D248E">
        <w:rPr>
          <w:rFonts w:ascii="Times New Roman" w:hAnsi="Times New Roman" w:cs="Times New Roman"/>
          <w:b/>
          <w:sz w:val="24"/>
          <w:szCs w:val="24"/>
        </w:rPr>
        <w:t xml:space="preserve"> Bolar kivétel alanyi körének a kibővítés</w:t>
      </w:r>
      <w:r w:rsidR="00C52741" w:rsidRPr="000D248E">
        <w:rPr>
          <w:rFonts w:ascii="Times New Roman" w:hAnsi="Times New Roman" w:cs="Times New Roman"/>
          <w:b/>
          <w:sz w:val="24"/>
          <w:szCs w:val="24"/>
        </w:rPr>
        <w:t>e</w:t>
      </w:r>
      <w:r w:rsidRPr="00856620">
        <w:rPr>
          <w:rFonts w:ascii="Times New Roman" w:hAnsi="Times New Roman" w:cs="Times New Roman"/>
          <w:b/>
          <w:sz w:val="24"/>
          <w:szCs w:val="24"/>
        </w:rPr>
        <w:t xml:space="preserve">: ezen módosítás lényege az lenne, hogy </w:t>
      </w:r>
      <w:r w:rsidRPr="000D248E">
        <w:rPr>
          <w:rFonts w:ascii="Times New Roman" w:hAnsi="Times New Roman" w:cs="Times New Roman"/>
          <w:b/>
          <w:sz w:val="24"/>
          <w:szCs w:val="24"/>
        </w:rPr>
        <w:t>a Bolar kivétel</w:t>
      </w:r>
      <w:r w:rsidRPr="00856620">
        <w:rPr>
          <w:rFonts w:ascii="Times New Roman" w:hAnsi="Times New Roman" w:cs="Times New Roman"/>
          <w:sz w:val="24"/>
          <w:szCs w:val="24"/>
        </w:rPr>
        <w:t xml:space="preserve"> </w:t>
      </w:r>
      <w:r w:rsidR="00086855" w:rsidRPr="000D248E">
        <w:rPr>
          <w:rFonts w:ascii="Times New Roman" w:hAnsi="Times New Roman" w:cs="Times New Roman"/>
          <w:b/>
          <w:sz w:val="24"/>
          <w:szCs w:val="24"/>
        </w:rPr>
        <w:t>ne csak</w:t>
      </w:r>
      <w:r w:rsidR="00086855" w:rsidRPr="000D248E">
        <w:rPr>
          <w:rFonts w:ascii="Times New Roman" w:hAnsi="Times New Roman" w:cs="Times New Roman"/>
          <w:sz w:val="24"/>
          <w:szCs w:val="24"/>
        </w:rPr>
        <w:t xml:space="preserve"> </w:t>
      </w:r>
      <w:r w:rsidR="00086855" w:rsidRPr="000D248E">
        <w:rPr>
          <w:rFonts w:ascii="Times New Roman" w:hAnsi="Times New Roman" w:cs="Times New Roman"/>
          <w:b/>
          <w:bCs/>
          <w:sz w:val="24"/>
          <w:szCs w:val="24"/>
        </w:rPr>
        <w:t xml:space="preserve">a forgalomba hozatali engedély iránti kérelmet benyújtó személyre, hanem </w:t>
      </w:r>
      <w:r w:rsidR="00A91259" w:rsidRPr="000D248E">
        <w:rPr>
          <w:rFonts w:ascii="Times New Roman" w:hAnsi="Times New Roman" w:cs="Times New Roman"/>
          <w:b/>
          <w:bCs/>
          <w:sz w:val="24"/>
          <w:szCs w:val="24"/>
        </w:rPr>
        <w:t>a kutatás-fejlesztési és engedélyezési folyamatban</w:t>
      </w:r>
      <w:r w:rsidR="00A91259" w:rsidRPr="000D248E" w:rsidDel="00A91259">
        <w:rPr>
          <w:rFonts w:ascii="Times New Roman" w:hAnsi="Times New Roman" w:cs="Times New Roman"/>
          <w:b/>
          <w:bCs/>
          <w:sz w:val="24"/>
          <w:szCs w:val="24"/>
        </w:rPr>
        <w:t xml:space="preserve"> </w:t>
      </w:r>
      <w:r w:rsidR="00A91259" w:rsidRPr="000D248E">
        <w:rPr>
          <w:rFonts w:ascii="Times New Roman" w:hAnsi="Times New Roman" w:cs="Times New Roman"/>
          <w:b/>
          <w:bCs/>
          <w:sz w:val="24"/>
          <w:szCs w:val="24"/>
        </w:rPr>
        <w:t>vele együttműködő</w:t>
      </w:r>
      <w:r w:rsidR="00086855" w:rsidRPr="000D248E">
        <w:rPr>
          <w:rFonts w:ascii="Times New Roman" w:hAnsi="Times New Roman" w:cs="Times New Roman"/>
          <w:b/>
          <w:bCs/>
          <w:sz w:val="24"/>
          <w:szCs w:val="24"/>
        </w:rPr>
        <w:t xml:space="preserve">harmadik személyre is kiterjedjen. </w:t>
      </w:r>
    </w:p>
    <w:p w14:paraId="577995B8" w14:textId="1DFB3F8D" w:rsidR="00086855" w:rsidRPr="004A0F12" w:rsidRDefault="0087287B" w:rsidP="00FE3DFF">
      <w:pPr>
        <w:pStyle w:val="Listaszerbekezds"/>
        <w:spacing w:after="0"/>
        <w:ind w:left="708" w:firstLine="424"/>
        <w:jc w:val="both"/>
        <w:rPr>
          <w:rFonts w:ascii="Times New Roman" w:hAnsi="Times New Roman" w:cs="Times New Roman"/>
          <w:bCs/>
          <w:sz w:val="24"/>
          <w:szCs w:val="24"/>
        </w:rPr>
      </w:pPr>
      <w:r w:rsidRPr="004A0F12">
        <w:rPr>
          <w:rFonts w:ascii="Times New Roman" w:hAnsi="Times New Roman" w:cs="Times New Roman"/>
          <w:bCs/>
          <w:sz w:val="24"/>
          <w:szCs w:val="24"/>
        </w:rPr>
        <w:t>A</w:t>
      </w:r>
      <w:r w:rsidR="00D205A4" w:rsidRPr="004A0F12">
        <w:rPr>
          <w:rFonts w:ascii="Times New Roman" w:hAnsi="Times New Roman" w:cs="Times New Roman"/>
          <w:bCs/>
          <w:sz w:val="24"/>
          <w:szCs w:val="24"/>
        </w:rPr>
        <w:t xml:space="preserve"> Bolar kivétel ez irányú kiterjesztése révén nem minősülne bitorlásnak </w:t>
      </w:r>
      <w:r w:rsidR="0002342D" w:rsidRPr="004A0F12">
        <w:rPr>
          <w:rFonts w:ascii="Times New Roman" w:hAnsi="Times New Roman" w:cs="Times New Roman"/>
          <w:bCs/>
          <w:sz w:val="24"/>
          <w:szCs w:val="24"/>
        </w:rPr>
        <w:t>a kutatás-fejlesztési és engedélyezési folyamatban harmadik személyekkel együttműködő kérelmező partnereinek cselekménye, ugyanis ezen cselekmények, függetlenül az azt végző entitástól, azonos célt, kizárólag a forgalomba hozatali engedély megszerzésének célját szolgálják.</w:t>
      </w:r>
    </w:p>
    <w:p w14:paraId="6E7190C1" w14:textId="77777777" w:rsidR="00E13236" w:rsidRPr="00224E64" w:rsidRDefault="00EF41F3" w:rsidP="00FE3DFF">
      <w:pPr>
        <w:pStyle w:val="Listaszerbekezds"/>
        <w:spacing w:after="0"/>
        <w:ind w:left="708" w:firstLine="424"/>
        <w:jc w:val="both"/>
        <w:rPr>
          <w:rFonts w:ascii="Times New Roman" w:hAnsi="Times New Roman" w:cs="Times New Roman"/>
          <w:bCs/>
          <w:sz w:val="24"/>
          <w:szCs w:val="24"/>
        </w:rPr>
      </w:pPr>
      <w:r>
        <w:rPr>
          <w:rFonts w:ascii="Times New Roman" w:hAnsi="Times New Roman" w:cs="Times New Roman"/>
          <w:bCs/>
          <w:sz w:val="24"/>
          <w:szCs w:val="24"/>
        </w:rPr>
        <w:lastRenderedPageBreak/>
        <w:t>E</w:t>
      </w:r>
      <w:r w:rsidR="00FB5D02" w:rsidRPr="00265EA9">
        <w:rPr>
          <w:rFonts w:ascii="Times New Roman" w:hAnsi="Times New Roman" w:cs="Times New Roman"/>
          <w:bCs/>
          <w:sz w:val="24"/>
          <w:szCs w:val="24"/>
        </w:rPr>
        <w:t xml:space="preserve">zt </w:t>
      </w:r>
      <w:r w:rsidR="0087287B">
        <w:rPr>
          <w:rFonts w:ascii="Times New Roman" w:hAnsi="Times New Roman" w:cs="Times New Roman"/>
          <w:bCs/>
          <w:sz w:val="24"/>
          <w:szCs w:val="24"/>
        </w:rPr>
        <w:t>az teheti</w:t>
      </w:r>
      <w:r w:rsidR="00FB5D02" w:rsidRPr="00265EA9">
        <w:rPr>
          <w:rFonts w:ascii="Times New Roman" w:hAnsi="Times New Roman" w:cs="Times New Roman"/>
          <w:bCs/>
          <w:sz w:val="24"/>
          <w:szCs w:val="24"/>
        </w:rPr>
        <w:t xml:space="preserve"> </w:t>
      </w:r>
      <w:r w:rsidR="00FB5D02" w:rsidRPr="0087287B">
        <w:rPr>
          <w:rFonts w:ascii="Times New Roman" w:hAnsi="Times New Roman" w:cs="Times New Roman"/>
          <w:sz w:val="24"/>
          <w:szCs w:val="24"/>
        </w:rPr>
        <w:t>indokolttá</w:t>
      </w:r>
      <w:r w:rsidR="00086855" w:rsidRPr="00265EA9">
        <w:rPr>
          <w:rFonts w:ascii="Times New Roman" w:hAnsi="Times New Roman" w:cs="Times New Roman"/>
          <w:bCs/>
          <w:sz w:val="24"/>
          <w:szCs w:val="24"/>
        </w:rPr>
        <w:t xml:space="preserve">, hogy a gyógyszertermékek fejlesztése és forgalomba hozatalának engedélyezése során gyakran a szükséges cselekményeket nem egyetlen jogi entitás valósítja meg, hanem </w:t>
      </w:r>
      <w:r w:rsidR="00FB5D02" w:rsidRPr="00265EA9">
        <w:rPr>
          <w:rFonts w:ascii="Times New Roman" w:hAnsi="Times New Roman" w:cs="Times New Roman"/>
          <w:bCs/>
          <w:sz w:val="24"/>
          <w:szCs w:val="24"/>
        </w:rPr>
        <w:t xml:space="preserve">az </w:t>
      </w:r>
      <w:r w:rsidR="00086855" w:rsidRPr="00265EA9">
        <w:rPr>
          <w:rFonts w:ascii="Times New Roman" w:hAnsi="Times New Roman" w:cs="Times New Roman"/>
          <w:bCs/>
          <w:sz w:val="24"/>
          <w:szCs w:val="24"/>
        </w:rPr>
        <w:t>több jo</w:t>
      </w:r>
      <w:r w:rsidR="00AC7E59" w:rsidRPr="00265EA9">
        <w:rPr>
          <w:rFonts w:ascii="Times New Roman" w:hAnsi="Times New Roman" w:cs="Times New Roman"/>
          <w:bCs/>
          <w:sz w:val="24"/>
          <w:szCs w:val="24"/>
        </w:rPr>
        <w:t>gi személy szoro</w:t>
      </w:r>
      <w:r w:rsidR="0087287B">
        <w:rPr>
          <w:rFonts w:ascii="Times New Roman" w:hAnsi="Times New Roman" w:cs="Times New Roman"/>
          <w:bCs/>
          <w:sz w:val="24"/>
          <w:szCs w:val="24"/>
        </w:rPr>
        <w:t xml:space="preserve">s együttműködésével történik. </w:t>
      </w:r>
      <w:r w:rsidR="00033C11" w:rsidRPr="00265EA9">
        <w:rPr>
          <w:rFonts w:ascii="Times New Roman" w:hAnsi="Times New Roman" w:cs="Times New Roman"/>
          <w:bCs/>
          <w:sz w:val="24"/>
          <w:szCs w:val="24"/>
        </w:rPr>
        <w:t>A generikus gyártók</w:t>
      </w:r>
      <w:r w:rsidR="0087287B">
        <w:rPr>
          <w:rFonts w:ascii="Times New Roman" w:hAnsi="Times New Roman" w:cs="Times New Roman"/>
          <w:bCs/>
          <w:sz w:val="24"/>
          <w:szCs w:val="24"/>
        </w:rPr>
        <w:t xml:space="preserve"> gyakran nem rendelkeznek</w:t>
      </w:r>
      <w:r w:rsidR="00033C11" w:rsidRPr="00265EA9">
        <w:rPr>
          <w:rFonts w:ascii="Times New Roman" w:hAnsi="Times New Roman" w:cs="Times New Roman"/>
          <w:bCs/>
          <w:sz w:val="24"/>
          <w:szCs w:val="24"/>
        </w:rPr>
        <w:t xml:space="preserve"> </w:t>
      </w:r>
      <w:r w:rsidR="00086855" w:rsidRPr="00265EA9">
        <w:rPr>
          <w:rFonts w:ascii="Times New Roman" w:hAnsi="Times New Roman" w:cs="Times New Roman"/>
          <w:bCs/>
          <w:sz w:val="24"/>
          <w:szCs w:val="24"/>
        </w:rPr>
        <w:t>teljes körű kutatás-fejlesztési, gyártói és klinikai kapacitásokkal</w:t>
      </w:r>
      <w:r w:rsidR="0087287B">
        <w:rPr>
          <w:rFonts w:ascii="Times New Roman" w:hAnsi="Times New Roman" w:cs="Times New Roman"/>
          <w:bCs/>
          <w:sz w:val="24"/>
          <w:szCs w:val="24"/>
        </w:rPr>
        <w:t xml:space="preserve">, így ezen feladatokat több </w:t>
      </w:r>
      <w:r w:rsidR="00224E64">
        <w:rPr>
          <w:rFonts w:ascii="Times New Roman" w:hAnsi="Times New Roman" w:cs="Times New Roman"/>
          <w:bCs/>
          <w:sz w:val="24"/>
          <w:szCs w:val="24"/>
        </w:rPr>
        <w:t xml:space="preserve">gyártó osztja meg egymás között, </w:t>
      </w:r>
      <w:r w:rsidR="00224E64" w:rsidRPr="00224E64">
        <w:rPr>
          <w:rFonts w:ascii="Times New Roman" w:hAnsi="Times New Roman" w:cs="Times New Roman"/>
          <w:bCs/>
          <w:sz w:val="24"/>
          <w:szCs w:val="24"/>
        </w:rPr>
        <w:t>a generikus gyártók</w:t>
      </w:r>
      <w:r w:rsidR="00AB0904">
        <w:rPr>
          <w:rFonts w:ascii="Times New Roman" w:hAnsi="Times New Roman" w:cs="Times New Roman"/>
          <w:bCs/>
          <w:sz w:val="24"/>
          <w:szCs w:val="24"/>
        </w:rPr>
        <w:t xml:space="preserve"> pl.</w:t>
      </w:r>
      <w:r w:rsidR="00224E64" w:rsidRPr="00224E64">
        <w:rPr>
          <w:rFonts w:ascii="Times New Roman" w:hAnsi="Times New Roman" w:cs="Times New Roman"/>
          <w:bCs/>
          <w:sz w:val="24"/>
          <w:szCs w:val="24"/>
        </w:rPr>
        <w:t xml:space="preserve"> a termékeikhez</w:t>
      </w:r>
      <w:r w:rsidR="00224E64">
        <w:rPr>
          <w:rFonts w:ascii="Times New Roman" w:hAnsi="Times New Roman" w:cs="Times New Roman"/>
          <w:bCs/>
          <w:sz w:val="24"/>
          <w:szCs w:val="24"/>
        </w:rPr>
        <w:t xml:space="preserve"> </w:t>
      </w:r>
      <w:r w:rsidR="00AB0904">
        <w:rPr>
          <w:rFonts w:ascii="Times New Roman" w:hAnsi="Times New Roman" w:cs="Times New Roman"/>
          <w:bCs/>
          <w:sz w:val="24"/>
          <w:szCs w:val="24"/>
        </w:rPr>
        <w:t>szükséges hatóanyag 80</w:t>
      </w:r>
      <w:r w:rsidR="00224E64" w:rsidRPr="00224E64">
        <w:rPr>
          <w:rFonts w:ascii="Times New Roman" w:hAnsi="Times New Roman" w:cs="Times New Roman"/>
          <w:bCs/>
          <w:sz w:val="24"/>
          <w:szCs w:val="24"/>
        </w:rPr>
        <w:t>%-át külső forrá</w:t>
      </w:r>
      <w:r w:rsidR="00224E64">
        <w:rPr>
          <w:rFonts w:ascii="Times New Roman" w:hAnsi="Times New Roman" w:cs="Times New Roman"/>
          <w:bCs/>
          <w:sz w:val="24"/>
          <w:szCs w:val="24"/>
        </w:rPr>
        <w:t>sból, beszállítóktól szerzik be.</w:t>
      </w:r>
      <w:r w:rsidR="00224E64">
        <w:rPr>
          <w:rStyle w:val="Lbjegyzet-hivatkozs"/>
          <w:rFonts w:ascii="Times New Roman" w:hAnsi="Times New Roman" w:cs="Times New Roman"/>
          <w:bCs/>
          <w:sz w:val="24"/>
          <w:szCs w:val="24"/>
        </w:rPr>
        <w:footnoteReference w:id="25"/>
      </w:r>
    </w:p>
    <w:p w14:paraId="627067C5" w14:textId="77777777" w:rsidR="00856620" w:rsidRDefault="000B4ED0" w:rsidP="00FE3DFF">
      <w:pPr>
        <w:pStyle w:val="Listaszerbekezds"/>
        <w:spacing w:after="0"/>
        <w:ind w:left="708" w:firstLine="424"/>
        <w:jc w:val="both"/>
        <w:rPr>
          <w:rFonts w:ascii="Times New Roman" w:hAnsi="Times New Roman" w:cs="Times New Roman"/>
          <w:bCs/>
          <w:sz w:val="24"/>
          <w:szCs w:val="24"/>
        </w:rPr>
      </w:pPr>
      <w:r>
        <w:rPr>
          <w:rFonts w:ascii="Times New Roman" w:hAnsi="Times New Roman" w:cs="Times New Roman"/>
          <w:bCs/>
          <w:sz w:val="24"/>
          <w:szCs w:val="24"/>
        </w:rPr>
        <w:t>Ugyanakkor megfontolást igényel, hogy a harmadik személyekre való kiterjesztés esetén a kivétel csak az egymással kutatási-fejlesztési megállapodást kötő hasznosítók tekintetében legyen irányadó, vagy lehetővé tegye az egymástól független hasznosítók közötti értékesítést is.</w:t>
      </w:r>
    </w:p>
    <w:p w14:paraId="62D58A3A" w14:textId="77777777" w:rsidR="00856620" w:rsidRPr="000D248E" w:rsidRDefault="00856620" w:rsidP="00FE3DFF">
      <w:pPr>
        <w:spacing w:after="0"/>
        <w:jc w:val="both"/>
        <w:rPr>
          <w:rFonts w:ascii="Times New Roman" w:hAnsi="Times New Roman" w:cs="Times New Roman"/>
          <w:bCs/>
          <w:sz w:val="24"/>
          <w:szCs w:val="24"/>
        </w:rPr>
      </w:pPr>
    </w:p>
    <w:p w14:paraId="378E7034" w14:textId="29AAF2B8" w:rsidR="00547D07" w:rsidRPr="00856620" w:rsidRDefault="004D6B1B" w:rsidP="00FE3DFF">
      <w:pPr>
        <w:pStyle w:val="Listaszerbekezds"/>
        <w:spacing w:after="0"/>
        <w:ind w:left="708"/>
        <w:jc w:val="both"/>
        <w:rPr>
          <w:rFonts w:ascii="Times New Roman" w:hAnsi="Times New Roman" w:cs="Times New Roman"/>
          <w:bCs/>
          <w:sz w:val="24"/>
          <w:szCs w:val="24"/>
        </w:rPr>
      </w:pPr>
      <w:r>
        <w:rPr>
          <w:rFonts w:ascii="Times New Roman" w:hAnsi="Times New Roman" w:cs="Times New Roman"/>
          <w:b/>
          <w:sz w:val="24"/>
          <w:szCs w:val="24"/>
        </w:rPr>
        <w:t>b</w:t>
      </w:r>
      <w:r w:rsidR="00512DFC" w:rsidRPr="000D248E">
        <w:rPr>
          <w:rFonts w:ascii="Times New Roman" w:hAnsi="Times New Roman" w:cs="Times New Roman"/>
          <w:b/>
          <w:sz w:val="24"/>
          <w:szCs w:val="24"/>
        </w:rPr>
        <w:t>)</w:t>
      </w:r>
      <w:r w:rsidR="00512DFC" w:rsidRPr="00856620">
        <w:rPr>
          <w:rFonts w:ascii="Times New Roman" w:hAnsi="Times New Roman" w:cs="Times New Roman"/>
          <w:sz w:val="24"/>
          <w:szCs w:val="24"/>
        </w:rPr>
        <w:t xml:space="preserve"> </w:t>
      </w:r>
      <w:r w:rsidR="00512DFC" w:rsidRPr="000D248E">
        <w:rPr>
          <w:rFonts w:ascii="Times New Roman" w:hAnsi="Times New Roman" w:cs="Times New Roman"/>
          <w:b/>
          <w:sz w:val="24"/>
          <w:szCs w:val="24"/>
        </w:rPr>
        <w:t xml:space="preserve">Az Szt.-ben található Bolar kivétel módosítása </w:t>
      </w:r>
      <w:r w:rsidR="00044382">
        <w:rPr>
          <w:rFonts w:ascii="Times New Roman" w:hAnsi="Times New Roman" w:cs="Times New Roman"/>
          <w:b/>
          <w:sz w:val="24"/>
          <w:szCs w:val="24"/>
        </w:rPr>
        <w:t xml:space="preserve">a </w:t>
      </w:r>
      <w:r w:rsidR="00512DFC" w:rsidRPr="000D248E">
        <w:rPr>
          <w:rFonts w:ascii="Times New Roman" w:hAnsi="Times New Roman" w:cs="Times New Roman"/>
          <w:b/>
          <w:sz w:val="24"/>
          <w:szCs w:val="24"/>
        </w:rPr>
        <w:t>célhoz kötöttség tekintetében</w:t>
      </w:r>
      <w:r w:rsidR="00512DFC" w:rsidRPr="00856620">
        <w:rPr>
          <w:rFonts w:ascii="Times New Roman" w:hAnsi="Times New Roman" w:cs="Times New Roman"/>
          <w:sz w:val="24"/>
          <w:szCs w:val="24"/>
        </w:rPr>
        <w:t>: f</w:t>
      </w:r>
      <w:r w:rsidR="00331467" w:rsidRPr="00856620">
        <w:rPr>
          <w:rFonts w:ascii="Times New Roman" w:hAnsi="Times New Roman" w:cs="Times New Roman"/>
          <w:sz w:val="24"/>
          <w:szCs w:val="24"/>
        </w:rPr>
        <w:t>elmerülhet továbbá</w:t>
      </w:r>
      <w:r w:rsidR="00D851A1" w:rsidRPr="00856620">
        <w:rPr>
          <w:rFonts w:ascii="Times New Roman" w:hAnsi="Times New Roman" w:cs="Times New Roman"/>
          <w:bCs/>
          <w:sz w:val="24"/>
          <w:szCs w:val="24"/>
        </w:rPr>
        <w:t xml:space="preserve"> </w:t>
      </w:r>
      <w:r w:rsidR="00547D07" w:rsidRPr="00856620">
        <w:rPr>
          <w:rFonts w:ascii="Times New Roman" w:hAnsi="Times New Roman" w:cs="Times New Roman"/>
          <w:bCs/>
          <w:sz w:val="24"/>
          <w:szCs w:val="24"/>
        </w:rPr>
        <w:t xml:space="preserve">a normaszövegben </w:t>
      </w:r>
      <w:r w:rsidR="00D851A1" w:rsidRPr="00856620">
        <w:rPr>
          <w:rFonts w:ascii="Times New Roman" w:hAnsi="Times New Roman" w:cs="Times New Roman"/>
          <w:bCs/>
          <w:sz w:val="24"/>
          <w:szCs w:val="24"/>
        </w:rPr>
        <w:t>annak egyértelműsítése</w:t>
      </w:r>
      <w:r w:rsidR="00547D07" w:rsidRPr="00856620">
        <w:rPr>
          <w:rFonts w:ascii="Times New Roman" w:hAnsi="Times New Roman" w:cs="Times New Roman"/>
          <w:bCs/>
          <w:sz w:val="24"/>
          <w:szCs w:val="24"/>
        </w:rPr>
        <w:t xml:space="preserve">, hogy </w:t>
      </w:r>
      <w:r w:rsidR="00547D07" w:rsidRPr="00856620">
        <w:rPr>
          <w:rFonts w:ascii="Times New Roman" w:hAnsi="Times New Roman" w:cs="Times New Roman"/>
          <w:b/>
          <w:bCs/>
          <w:sz w:val="24"/>
          <w:szCs w:val="24"/>
        </w:rPr>
        <w:t xml:space="preserve">a törzskönyvezés, ami </w:t>
      </w:r>
      <w:r w:rsidR="00EE6584" w:rsidRPr="00856620">
        <w:rPr>
          <w:rFonts w:ascii="Times New Roman" w:hAnsi="Times New Roman" w:cs="Times New Roman"/>
          <w:b/>
          <w:bCs/>
          <w:sz w:val="24"/>
          <w:szCs w:val="24"/>
        </w:rPr>
        <w:t>megteremti</w:t>
      </w:r>
      <w:r w:rsidR="00EE6584">
        <w:rPr>
          <w:rFonts w:ascii="Times New Roman" w:hAnsi="Times New Roman" w:cs="Times New Roman"/>
          <w:b/>
          <w:bCs/>
          <w:sz w:val="24"/>
          <w:szCs w:val="24"/>
        </w:rPr>
        <w:t xml:space="preserve"> a</w:t>
      </w:r>
      <w:r w:rsidR="00EE6584" w:rsidRPr="00856620">
        <w:rPr>
          <w:rFonts w:ascii="Times New Roman" w:hAnsi="Times New Roman" w:cs="Times New Roman"/>
          <w:b/>
          <w:bCs/>
          <w:sz w:val="24"/>
          <w:szCs w:val="24"/>
        </w:rPr>
        <w:t xml:space="preserve"> </w:t>
      </w:r>
      <w:r w:rsidR="00547D07" w:rsidRPr="00856620">
        <w:rPr>
          <w:rFonts w:ascii="Times New Roman" w:hAnsi="Times New Roman" w:cs="Times New Roman"/>
          <w:b/>
          <w:bCs/>
          <w:sz w:val="24"/>
          <w:szCs w:val="24"/>
        </w:rPr>
        <w:t>Bolar kivétel alapját a törzskönyvet kérelmező számára, bármelyik országban történhet</w:t>
      </w:r>
      <w:r w:rsidR="00547D07" w:rsidRPr="00856620">
        <w:rPr>
          <w:rFonts w:ascii="Times New Roman" w:hAnsi="Times New Roman" w:cs="Times New Roman"/>
          <w:bCs/>
          <w:sz w:val="24"/>
          <w:szCs w:val="24"/>
        </w:rPr>
        <w:t>, nemcsak</w:t>
      </w:r>
      <w:r w:rsidR="00D95A70" w:rsidRPr="00856620">
        <w:rPr>
          <w:rFonts w:ascii="Times New Roman" w:hAnsi="Times New Roman" w:cs="Times New Roman"/>
          <w:bCs/>
          <w:sz w:val="24"/>
          <w:szCs w:val="24"/>
        </w:rPr>
        <w:t xml:space="preserve"> Magyarországon vagy az EU-ban.</w:t>
      </w:r>
    </w:p>
    <w:p w14:paraId="6E734B96" w14:textId="49B2072D" w:rsidR="00331467" w:rsidRDefault="00331467" w:rsidP="00FE3DFF">
      <w:pPr>
        <w:pStyle w:val="Listaszerbekezds"/>
        <w:spacing w:after="0"/>
        <w:ind w:left="708" w:firstLine="424"/>
        <w:jc w:val="both"/>
        <w:rPr>
          <w:rFonts w:ascii="Times New Roman" w:hAnsi="Times New Roman" w:cs="Times New Roman"/>
          <w:bCs/>
          <w:sz w:val="24"/>
          <w:szCs w:val="24"/>
        </w:rPr>
      </w:pPr>
      <w:r>
        <w:rPr>
          <w:rFonts w:ascii="Times New Roman" w:hAnsi="Times New Roman" w:cs="Times New Roman"/>
          <w:bCs/>
          <w:sz w:val="24"/>
          <w:szCs w:val="24"/>
        </w:rPr>
        <w:t xml:space="preserve">Németország, Olaszország, Dánia és </w:t>
      </w:r>
      <w:r w:rsidRPr="00331467">
        <w:rPr>
          <w:rFonts w:ascii="Times New Roman" w:hAnsi="Times New Roman" w:cs="Times New Roman"/>
          <w:bCs/>
          <w:sz w:val="24"/>
          <w:szCs w:val="24"/>
        </w:rPr>
        <w:t>Spanyolország</w:t>
      </w:r>
      <w:r>
        <w:rPr>
          <w:rFonts w:ascii="Times New Roman" w:hAnsi="Times New Roman" w:cs="Times New Roman"/>
          <w:bCs/>
          <w:sz w:val="24"/>
          <w:szCs w:val="24"/>
        </w:rPr>
        <w:t xml:space="preserve"> Bolar kivétele az Európai Unión kívülre is lehetővé teszi a hasznosítást, </w:t>
      </w:r>
      <w:r w:rsidRPr="00331467">
        <w:rPr>
          <w:rFonts w:ascii="Times New Roman" w:hAnsi="Times New Roman" w:cs="Times New Roman"/>
          <w:bCs/>
          <w:sz w:val="24"/>
          <w:szCs w:val="24"/>
        </w:rPr>
        <w:t>Holl</w:t>
      </w:r>
      <w:r>
        <w:rPr>
          <w:rFonts w:ascii="Times New Roman" w:hAnsi="Times New Roman" w:cs="Times New Roman"/>
          <w:bCs/>
          <w:sz w:val="24"/>
          <w:szCs w:val="24"/>
        </w:rPr>
        <w:t>andia, Belgium és az</w:t>
      </w:r>
      <w:r w:rsidR="00486D03">
        <w:rPr>
          <w:rFonts w:ascii="Times New Roman" w:hAnsi="Times New Roman" w:cs="Times New Roman"/>
          <w:bCs/>
          <w:sz w:val="24"/>
          <w:szCs w:val="24"/>
        </w:rPr>
        <w:t xml:space="preserve"> Egyesült Királyság kivétele pedig az uniós országok tekintetében teszi lehetővé ugyanezt.</w:t>
      </w:r>
      <w:r w:rsidR="00EF41F3">
        <w:rPr>
          <w:rStyle w:val="Lbjegyzet-hivatkozs"/>
          <w:rFonts w:ascii="Times New Roman" w:hAnsi="Times New Roman" w:cs="Times New Roman"/>
          <w:bCs/>
          <w:sz w:val="24"/>
          <w:szCs w:val="24"/>
        </w:rPr>
        <w:footnoteReference w:id="26"/>
      </w:r>
      <w:r w:rsidR="00486D03">
        <w:rPr>
          <w:rFonts w:ascii="Times New Roman" w:hAnsi="Times New Roman" w:cs="Times New Roman"/>
          <w:bCs/>
          <w:sz w:val="24"/>
          <w:szCs w:val="24"/>
        </w:rPr>
        <w:t xml:space="preserve"> Az Szt. </w:t>
      </w:r>
      <w:r w:rsidR="00A83F41">
        <w:rPr>
          <w:rFonts w:ascii="Times New Roman" w:hAnsi="Times New Roman" w:cs="Times New Roman"/>
          <w:bCs/>
          <w:sz w:val="24"/>
          <w:szCs w:val="24"/>
        </w:rPr>
        <w:t xml:space="preserve">hatályos szabályozása alapján </w:t>
      </w:r>
      <w:r w:rsidR="00486D03">
        <w:rPr>
          <w:rFonts w:ascii="Times New Roman" w:hAnsi="Times New Roman" w:cs="Times New Roman"/>
          <w:bCs/>
          <w:sz w:val="24"/>
          <w:szCs w:val="24"/>
        </w:rPr>
        <w:t>ugyanakkor</w:t>
      </w:r>
      <w:r w:rsidR="00015AA6">
        <w:rPr>
          <w:rFonts w:ascii="Times New Roman" w:hAnsi="Times New Roman" w:cs="Times New Roman"/>
          <w:bCs/>
          <w:sz w:val="24"/>
          <w:szCs w:val="24"/>
        </w:rPr>
        <w:t xml:space="preserve"> nem egyértelmű, hogy </w:t>
      </w:r>
      <w:r w:rsidR="00486D03">
        <w:rPr>
          <w:rFonts w:ascii="Times New Roman" w:hAnsi="Times New Roman" w:cs="Times New Roman"/>
          <w:bCs/>
          <w:sz w:val="24"/>
          <w:szCs w:val="24"/>
        </w:rPr>
        <w:t>a külföldi</w:t>
      </w:r>
      <w:r w:rsidR="00015AA6">
        <w:rPr>
          <w:rFonts w:ascii="Times New Roman" w:hAnsi="Times New Roman" w:cs="Times New Roman"/>
          <w:bCs/>
          <w:sz w:val="24"/>
          <w:szCs w:val="24"/>
        </w:rPr>
        <w:t xml:space="preserve"> forgalomba</w:t>
      </w:r>
      <w:r w:rsidR="003A3AE2">
        <w:rPr>
          <w:rFonts w:ascii="Times New Roman" w:hAnsi="Times New Roman" w:cs="Times New Roman"/>
          <w:bCs/>
          <w:sz w:val="24"/>
          <w:szCs w:val="24"/>
        </w:rPr>
        <w:t xml:space="preserve"> hozatali engedély esetén is al</w:t>
      </w:r>
      <w:r w:rsidR="00015AA6">
        <w:rPr>
          <w:rFonts w:ascii="Times New Roman" w:hAnsi="Times New Roman" w:cs="Times New Roman"/>
          <w:bCs/>
          <w:sz w:val="24"/>
          <w:szCs w:val="24"/>
        </w:rPr>
        <w:t>kalmazható-e a Bolar kivétel</w:t>
      </w:r>
      <w:r w:rsidR="00486D03">
        <w:rPr>
          <w:rFonts w:ascii="Times New Roman" w:hAnsi="Times New Roman" w:cs="Times New Roman"/>
          <w:bCs/>
          <w:sz w:val="24"/>
          <w:szCs w:val="24"/>
        </w:rPr>
        <w:t>, így felmerült a kérdés, hogy szükséges-e a Bolar kivétel tárgyi hatályának kiterjesztése, és ha igen, akkor milyen körben.</w:t>
      </w:r>
    </w:p>
    <w:p w14:paraId="5827AB62" w14:textId="77777777" w:rsidR="00331467" w:rsidRPr="00265EA9" w:rsidRDefault="00331467" w:rsidP="00FE3DFF">
      <w:pPr>
        <w:spacing w:after="0"/>
        <w:jc w:val="both"/>
        <w:rPr>
          <w:rFonts w:ascii="Times New Roman" w:hAnsi="Times New Roman" w:cs="Times New Roman"/>
          <w:bCs/>
          <w:sz w:val="24"/>
          <w:szCs w:val="24"/>
        </w:rPr>
      </w:pPr>
    </w:p>
    <w:p w14:paraId="7A9302AB" w14:textId="6EACD830" w:rsidR="00C438C3" w:rsidRDefault="00512DFC" w:rsidP="00FE3DFF">
      <w:pPr>
        <w:pStyle w:val="Listaszerbekezds"/>
        <w:spacing w:after="0"/>
        <w:ind w:left="708"/>
        <w:jc w:val="both"/>
        <w:rPr>
          <w:rFonts w:ascii="Times New Roman" w:hAnsi="Times New Roman" w:cs="Times New Roman"/>
          <w:bCs/>
          <w:sz w:val="24"/>
          <w:szCs w:val="24"/>
        </w:rPr>
      </w:pPr>
      <w:r w:rsidRPr="0042600A">
        <w:rPr>
          <w:rFonts w:ascii="Times New Roman" w:hAnsi="Times New Roman" w:cs="Times New Roman"/>
          <w:b/>
          <w:bCs/>
          <w:sz w:val="24"/>
          <w:szCs w:val="24"/>
        </w:rPr>
        <w:t>c)</w:t>
      </w:r>
      <w:r>
        <w:rPr>
          <w:rFonts w:ascii="Times New Roman" w:hAnsi="Times New Roman" w:cs="Times New Roman"/>
          <w:bCs/>
          <w:sz w:val="24"/>
          <w:szCs w:val="24"/>
        </w:rPr>
        <w:t xml:space="preserve"> </w:t>
      </w:r>
      <w:r w:rsidRPr="00512DFC">
        <w:rPr>
          <w:rFonts w:ascii="Times New Roman" w:hAnsi="Times New Roman" w:cs="Times New Roman"/>
          <w:b/>
          <w:bCs/>
          <w:sz w:val="24"/>
          <w:szCs w:val="24"/>
        </w:rPr>
        <w:t xml:space="preserve">Az Szt.-ben található Bolar kivétel </w:t>
      </w:r>
      <w:r w:rsidR="00B765C7">
        <w:rPr>
          <w:rFonts w:ascii="Times New Roman" w:hAnsi="Times New Roman" w:cs="Times New Roman"/>
          <w:b/>
          <w:bCs/>
          <w:sz w:val="24"/>
          <w:szCs w:val="24"/>
        </w:rPr>
        <w:t xml:space="preserve">kiigazítása a hatálya alá tartozó cselekmények </w:t>
      </w:r>
      <w:r w:rsidRPr="00512DFC">
        <w:rPr>
          <w:rFonts w:ascii="Times New Roman" w:hAnsi="Times New Roman" w:cs="Times New Roman"/>
          <w:b/>
          <w:bCs/>
          <w:sz w:val="24"/>
          <w:szCs w:val="24"/>
        </w:rPr>
        <w:t>tekintetében</w:t>
      </w:r>
      <w:r w:rsidR="00091DD6">
        <w:rPr>
          <w:rFonts w:ascii="Times New Roman" w:hAnsi="Times New Roman" w:cs="Times New Roman"/>
          <w:b/>
          <w:bCs/>
          <w:sz w:val="24"/>
          <w:szCs w:val="24"/>
        </w:rPr>
        <w:t>:</w:t>
      </w:r>
      <w:r w:rsidRPr="00512DFC">
        <w:rPr>
          <w:rFonts w:ascii="Times New Roman" w:hAnsi="Times New Roman" w:cs="Times New Roman"/>
          <w:bCs/>
          <w:sz w:val="24"/>
          <w:szCs w:val="24"/>
        </w:rPr>
        <w:t xml:space="preserve"> </w:t>
      </w:r>
      <w:r w:rsidR="00091DD6">
        <w:rPr>
          <w:rFonts w:ascii="Times New Roman" w:hAnsi="Times New Roman" w:cs="Times New Roman"/>
          <w:bCs/>
          <w:sz w:val="24"/>
          <w:szCs w:val="24"/>
        </w:rPr>
        <w:t>F</w:t>
      </w:r>
      <w:r w:rsidR="00486D03">
        <w:rPr>
          <w:rFonts w:ascii="Times New Roman" w:hAnsi="Times New Roman" w:cs="Times New Roman"/>
          <w:bCs/>
          <w:sz w:val="24"/>
          <w:szCs w:val="24"/>
        </w:rPr>
        <w:t>elmerülhet annak szükségessége, hogy</w:t>
      </w:r>
      <w:r w:rsidR="00C536BA" w:rsidRPr="00265EA9">
        <w:rPr>
          <w:rFonts w:ascii="Times New Roman" w:hAnsi="Times New Roman" w:cs="Times New Roman"/>
          <w:bCs/>
          <w:sz w:val="24"/>
          <w:szCs w:val="24"/>
        </w:rPr>
        <w:t xml:space="preserve"> </w:t>
      </w:r>
      <w:r w:rsidR="00547D07" w:rsidRPr="00265EA9">
        <w:rPr>
          <w:rFonts w:ascii="Times New Roman" w:hAnsi="Times New Roman" w:cs="Times New Roman"/>
          <w:b/>
          <w:bCs/>
          <w:sz w:val="24"/>
          <w:szCs w:val="24"/>
        </w:rPr>
        <w:t>a kísérletekhez és vizsgálatokhoz</w:t>
      </w:r>
      <w:r w:rsidR="00772BCF" w:rsidRPr="00265EA9">
        <w:rPr>
          <w:rFonts w:ascii="Times New Roman" w:hAnsi="Times New Roman" w:cs="Times New Roman"/>
          <w:b/>
          <w:bCs/>
          <w:sz w:val="24"/>
          <w:szCs w:val="24"/>
        </w:rPr>
        <w:t xml:space="preserve"> szükségszerűen kapcsolódó, </w:t>
      </w:r>
      <w:r w:rsidR="00486D03">
        <w:rPr>
          <w:rFonts w:ascii="Times New Roman" w:hAnsi="Times New Roman" w:cs="Times New Roman"/>
          <w:b/>
          <w:bCs/>
          <w:sz w:val="24"/>
          <w:szCs w:val="24"/>
        </w:rPr>
        <w:t xml:space="preserve">a </w:t>
      </w:r>
      <w:r w:rsidR="00486D03" w:rsidRPr="00486D03">
        <w:rPr>
          <w:rFonts w:ascii="Times New Roman" w:hAnsi="Times New Roman" w:cs="Times New Roman"/>
          <w:b/>
          <w:bCs/>
          <w:sz w:val="24"/>
          <w:szCs w:val="24"/>
        </w:rPr>
        <w:t xml:space="preserve">2001/83/EK irányelv </w:t>
      </w:r>
      <w:r w:rsidR="00547D07" w:rsidRPr="00265EA9">
        <w:rPr>
          <w:rFonts w:ascii="Times New Roman" w:hAnsi="Times New Roman" w:cs="Times New Roman"/>
          <w:b/>
          <w:bCs/>
          <w:sz w:val="24"/>
          <w:szCs w:val="24"/>
        </w:rPr>
        <w:t>szándéka és értelme szerint a Bolar</w:t>
      </w:r>
      <w:r w:rsidR="00486D03">
        <w:rPr>
          <w:rFonts w:ascii="Times New Roman" w:hAnsi="Times New Roman" w:cs="Times New Roman"/>
          <w:b/>
          <w:bCs/>
          <w:sz w:val="24"/>
          <w:szCs w:val="24"/>
        </w:rPr>
        <w:t xml:space="preserve"> kivétel</w:t>
      </w:r>
      <w:r w:rsidR="00547D07" w:rsidRPr="00265EA9">
        <w:rPr>
          <w:rFonts w:ascii="Times New Roman" w:hAnsi="Times New Roman" w:cs="Times New Roman"/>
          <w:b/>
          <w:bCs/>
          <w:sz w:val="24"/>
          <w:szCs w:val="24"/>
        </w:rPr>
        <w:t xml:space="preserve"> alá eső </w:t>
      </w:r>
      <w:r w:rsidR="00015AA6">
        <w:rPr>
          <w:rFonts w:ascii="Times New Roman" w:hAnsi="Times New Roman" w:cs="Times New Roman"/>
          <w:b/>
          <w:bCs/>
          <w:sz w:val="24"/>
          <w:szCs w:val="24"/>
        </w:rPr>
        <w:t xml:space="preserve">cselekmények </w:t>
      </w:r>
      <w:r w:rsidR="00466471">
        <w:rPr>
          <w:rFonts w:ascii="Times New Roman" w:hAnsi="Times New Roman" w:cs="Times New Roman"/>
          <w:b/>
          <w:bCs/>
          <w:sz w:val="24"/>
          <w:szCs w:val="24"/>
        </w:rPr>
        <w:t>példálózó</w:t>
      </w:r>
      <w:r w:rsidR="006E596C">
        <w:rPr>
          <w:rFonts w:ascii="Times New Roman" w:hAnsi="Times New Roman" w:cs="Times New Roman"/>
          <w:b/>
          <w:bCs/>
          <w:sz w:val="24"/>
          <w:szCs w:val="24"/>
        </w:rPr>
        <w:t xml:space="preserve"> módon felsorolásra kerüljenek</w:t>
      </w:r>
      <w:r w:rsidR="00C536BA" w:rsidRPr="00265EA9">
        <w:rPr>
          <w:rFonts w:ascii="Times New Roman" w:hAnsi="Times New Roman" w:cs="Times New Roman"/>
          <w:b/>
          <w:bCs/>
          <w:sz w:val="24"/>
          <w:szCs w:val="24"/>
        </w:rPr>
        <w:t xml:space="preserve"> az Szt.-ben. </w:t>
      </w:r>
      <w:r w:rsidR="006E596C">
        <w:rPr>
          <w:rFonts w:ascii="Times New Roman" w:hAnsi="Times New Roman" w:cs="Times New Roman"/>
          <w:bCs/>
          <w:sz w:val="24"/>
          <w:szCs w:val="24"/>
        </w:rPr>
        <w:t>A potenciális hasznosítási módok példálózó jellegű felsorolása értelmezési kapaszkodót adna a kivétel tárgyi hatálya tekintetében, ezáltal fokozná a jogbiztonságot mind a jogosultak, mind a hasznosítók oldalán.</w:t>
      </w:r>
    </w:p>
    <w:p w14:paraId="3719C3DE" w14:textId="77777777" w:rsidR="00856620" w:rsidRPr="00856620" w:rsidRDefault="00856620" w:rsidP="00FE3DFF">
      <w:pPr>
        <w:pStyle w:val="Listaszerbekezds"/>
        <w:spacing w:after="0"/>
        <w:ind w:left="284"/>
        <w:jc w:val="both"/>
        <w:rPr>
          <w:rFonts w:ascii="Times New Roman" w:hAnsi="Times New Roman" w:cs="Times New Roman"/>
          <w:bCs/>
          <w:sz w:val="24"/>
          <w:szCs w:val="24"/>
        </w:rPr>
      </w:pPr>
    </w:p>
    <w:p w14:paraId="76ED7DBA" w14:textId="4C68FDE1" w:rsidR="00A55997" w:rsidRPr="00265EA9" w:rsidRDefault="00F63872" w:rsidP="00FE3DFF">
      <w:pPr>
        <w:pStyle w:val="Listaszerbekezds"/>
        <w:spacing w:after="0"/>
        <w:ind w:left="0"/>
        <w:jc w:val="both"/>
        <w:rPr>
          <w:rFonts w:ascii="Times New Roman" w:hAnsi="Times New Roman" w:cs="Times New Roman"/>
          <w:sz w:val="24"/>
          <w:szCs w:val="24"/>
        </w:rPr>
      </w:pPr>
      <w:r>
        <w:rPr>
          <w:rFonts w:ascii="Times New Roman" w:hAnsi="Times New Roman" w:cs="Times New Roman"/>
          <w:sz w:val="24"/>
          <w:szCs w:val="24"/>
        </w:rPr>
        <w:t xml:space="preserve">A 2. alternatívában megjelenített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c) módosítási irányok </w:t>
      </w:r>
      <w:r w:rsidR="00D44521">
        <w:rPr>
          <w:rFonts w:ascii="Times New Roman" w:hAnsi="Times New Roman" w:cs="Times New Roman"/>
          <w:sz w:val="24"/>
          <w:szCs w:val="24"/>
        </w:rPr>
        <w:t>tekintetében</w:t>
      </w:r>
      <w:r w:rsidR="00206F9F" w:rsidRPr="00265EA9">
        <w:rPr>
          <w:rFonts w:ascii="Times New Roman" w:hAnsi="Times New Roman" w:cs="Times New Roman"/>
          <w:sz w:val="24"/>
          <w:szCs w:val="24"/>
        </w:rPr>
        <w:t xml:space="preserve"> </w:t>
      </w:r>
      <w:r w:rsidR="00FC04F8" w:rsidRPr="00265EA9">
        <w:rPr>
          <w:rFonts w:ascii="Times New Roman" w:hAnsi="Times New Roman" w:cs="Times New Roman"/>
          <w:sz w:val="24"/>
          <w:szCs w:val="24"/>
        </w:rPr>
        <w:t>az</w:t>
      </w:r>
      <w:r w:rsidR="00206F9F" w:rsidRPr="00265EA9">
        <w:rPr>
          <w:rFonts w:ascii="Times New Roman" w:hAnsi="Times New Roman" w:cs="Times New Roman"/>
          <w:sz w:val="24"/>
          <w:szCs w:val="24"/>
        </w:rPr>
        <w:t xml:space="preserve"> alábbi</w:t>
      </w:r>
      <w:r>
        <w:rPr>
          <w:rFonts w:ascii="Times New Roman" w:hAnsi="Times New Roman" w:cs="Times New Roman"/>
          <w:sz w:val="24"/>
          <w:szCs w:val="24"/>
        </w:rPr>
        <w:t>akban megfogalmazott</w:t>
      </w:r>
      <w:r w:rsidR="00206F9F" w:rsidRPr="00265EA9">
        <w:rPr>
          <w:rFonts w:ascii="Times New Roman" w:hAnsi="Times New Roman" w:cs="Times New Roman"/>
          <w:sz w:val="24"/>
          <w:szCs w:val="24"/>
        </w:rPr>
        <w:t xml:space="preserve"> két </w:t>
      </w:r>
      <w:r>
        <w:rPr>
          <w:rFonts w:ascii="Times New Roman" w:hAnsi="Times New Roman" w:cs="Times New Roman"/>
          <w:sz w:val="24"/>
          <w:szCs w:val="24"/>
        </w:rPr>
        <w:t xml:space="preserve">lehetséges </w:t>
      </w:r>
      <w:r w:rsidR="00206F9F" w:rsidRPr="00265EA9">
        <w:rPr>
          <w:rFonts w:ascii="Times New Roman" w:hAnsi="Times New Roman" w:cs="Times New Roman"/>
          <w:sz w:val="24"/>
          <w:szCs w:val="24"/>
        </w:rPr>
        <w:t>szöveg</w:t>
      </w:r>
      <w:r w:rsidR="00D44521">
        <w:rPr>
          <w:rFonts w:ascii="Times New Roman" w:hAnsi="Times New Roman" w:cs="Times New Roman"/>
          <w:sz w:val="24"/>
          <w:szCs w:val="24"/>
        </w:rPr>
        <w:t>javaslat</w:t>
      </w:r>
      <w:r w:rsidR="00206F9F" w:rsidRPr="00265EA9">
        <w:rPr>
          <w:rFonts w:ascii="Times New Roman" w:hAnsi="Times New Roman" w:cs="Times New Roman"/>
          <w:sz w:val="24"/>
          <w:szCs w:val="24"/>
        </w:rPr>
        <w:t xml:space="preserve"> </w:t>
      </w:r>
      <w:r w:rsidR="009B6CB6" w:rsidRPr="00265EA9">
        <w:rPr>
          <w:rFonts w:ascii="Times New Roman" w:hAnsi="Times New Roman" w:cs="Times New Roman"/>
          <w:sz w:val="24"/>
          <w:szCs w:val="24"/>
        </w:rPr>
        <w:t>(az új szövegrészek aláhúzással</w:t>
      </w:r>
      <w:r w:rsidR="009B6CB6">
        <w:rPr>
          <w:rFonts w:ascii="Times New Roman" w:hAnsi="Times New Roman" w:cs="Times New Roman"/>
          <w:sz w:val="24"/>
          <w:szCs w:val="24"/>
        </w:rPr>
        <w:t>, dőlten</w:t>
      </w:r>
      <w:r w:rsidR="009B6CB6" w:rsidRPr="00265EA9">
        <w:rPr>
          <w:rFonts w:ascii="Times New Roman" w:hAnsi="Times New Roman" w:cs="Times New Roman"/>
          <w:sz w:val="24"/>
          <w:szCs w:val="24"/>
        </w:rPr>
        <w:t xml:space="preserve"> jelölve)</w:t>
      </w:r>
      <w:r w:rsidRPr="00F63872">
        <w:rPr>
          <w:rFonts w:ascii="Times New Roman" w:hAnsi="Times New Roman" w:cs="Times New Roman"/>
          <w:sz w:val="24"/>
          <w:szCs w:val="24"/>
        </w:rPr>
        <w:t xml:space="preserve"> elsősorban a közös gondolkodás elősegítését szolgálja, és nem tárcaálláspont megjelölését</w:t>
      </w:r>
      <w:r w:rsidR="00D44521">
        <w:rPr>
          <w:rFonts w:ascii="Times New Roman" w:hAnsi="Times New Roman" w:cs="Times New Roman"/>
          <w:sz w:val="24"/>
          <w:szCs w:val="24"/>
        </w:rPr>
        <w:t>.</w:t>
      </w:r>
    </w:p>
    <w:p w14:paraId="0FFD2F4D" w14:textId="77777777" w:rsidR="00D44521" w:rsidRDefault="00D44521" w:rsidP="00FE3DFF">
      <w:pPr>
        <w:spacing w:after="0"/>
        <w:jc w:val="both"/>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4531"/>
        <w:gridCol w:w="4531"/>
      </w:tblGrid>
      <w:tr w:rsidR="00D44521" w:rsidRPr="00D44521" w14:paraId="57183C91" w14:textId="77777777" w:rsidTr="00D44521">
        <w:tc>
          <w:tcPr>
            <w:tcW w:w="4606" w:type="dxa"/>
          </w:tcPr>
          <w:p w14:paraId="7F0C51A5" w14:textId="77777777" w:rsidR="00D44521" w:rsidRPr="00D44521" w:rsidRDefault="00D44521" w:rsidP="00FE3DFF">
            <w:pPr>
              <w:jc w:val="center"/>
              <w:rPr>
                <w:rFonts w:ascii="Times New Roman" w:hAnsi="Times New Roman" w:cs="Times New Roman"/>
                <w:b/>
                <w:sz w:val="24"/>
                <w:szCs w:val="24"/>
              </w:rPr>
            </w:pPr>
            <w:r w:rsidRPr="00D44521">
              <w:rPr>
                <w:rFonts w:ascii="Times New Roman" w:hAnsi="Times New Roman" w:cs="Times New Roman"/>
                <w:b/>
                <w:sz w:val="24"/>
                <w:szCs w:val="24"/>
              </w:rPr>
              <w:t>„A” opció</w:t>
            </w:r>
          </w:p>
        </w:tc>
        <w:tc>
          <w:tcPr>
            <w:tcW w:w="4606" w:type="dxa"/>
          </w:tcPr>
          <w:p w14:paraId="16A51B62" w14:textId="77777777" w:rsidR="00D44521" w:rsidRPr="00D44521" w:rsidRDefault="00D44521" w:rsidP="00FE3DFF">
            <w:pPr>
              <w:jc w:val="center"/>
              <w:rPr>
                <w:rFonts w:ascii="Times New Roman" w:hAnsi="Times New Roman" w:cs="Times New Roman"/>
                <w:b/>
                <w:sz w:val="24"/>
                <w:szCs w:val="24"/>
              </w:rPr>
            </w:pPr>
            <w:r w:rsidRPr="00D44521">
              <w:rPr>
                <w:rFonts w:ascii="Times New Roman" w:hAnsi="Times New Roman" w:cs="Times New Roman"/>
                <w:b/>
                <w:sz w:val="24"/>
                <w:szCs w:val="24"/>
              </w:rPr>
              <w:t>„B” opció</w:t>
            </w:r>
          </w:p>
        </w:tc>
      </w:tr>
      <w:tr w:rsidR="00D44521" w14:paraId="79FA338C" w14:textId="77777777" w:rsidTr="00D44521">
        <w:tc>
          <w:tcPr>
            <w:tcW w:w="4606" w:type="dxa"/>
          </w:tcPr>
          <w:p w14:paraId="57D868D5" w14:textId="77777777" w:rsidR="00D44521" w:rsidRDefault="00D44521" w:rsidP="00FE3DFF">
            <w:pPr>
              <w:jc w:val="both"/>
              <w:rPr>
                <w:rFonts w:ascii="Times New Roman" w:hAnsi="Times New Roman" w:cs="Times New Roman"/>
                <w:sz w:val="24"/>
                <w:szCs w:val="24"/>
              </w:rPr>
            </w:pPr>
            <w:r>
              <w:rPr>
                <w:rFonts w:ascii="Times New Roman" w:hAnsi="Times New Roman" w:cs="Times New Roman"/>
                <w:sz w:val="24"/>
                <w:szCs w:val="24"/>
              </w:rPr>
              <w:t xml:space="preserve">Az Szt. 19. § (6) bekezdés </w:t>
            </w:r>
            <w:r w:rsidRPr="00D44521">
              <w:rPr>
                <w:rFonts w:ascii="Times New Roman" w:hAnsi="Times New Roman" w:cs="Times New Roman"/>
                <w:i/>
                <w:sz w:val="24"/>
                <w:szCs w:val="24"/>
              </w:rPr>
              <w:t>b)</w:t>
            </w:r>
            <w:r>
              <w:rPr>
                <w:rFonts w:ascii="Times New Roman" w:hAnsi="Times New Roman" w:cs="Times New Roman"/>
                <w:sz w:val="24"/>
                <w:szCs w:val="24"/>
              </w:rPr>
              <w:t xml:space="preserve"> pontja helyébe a következő rendelkezés lép:</w:t>
            </w:r>
          </w:p>
          <w:p w14:paraId="243A8B46" w14:textId="77777777" w:rsidR="00D44521" w:rsidRDefault="00D44521" w:rsidP="00FE3DFF">
            <w:pPr>
              <w:jc w:val="both"/>
              <w:rPr>
                <w:rFonts w:ascii="Times New Roman" w:hAnsi="Times New Roman" w:cs="Times New Roman"/>
                <w:sz w:val="24"/>
                <w:szCs w:val="24"/>
              </w:rPr>
            </w:pPr>
          </w:p>
          <w:p w14:paraId="74FDB260" w14:textId="77777777" w:rsidR="00D44521" w:rsidRDefault="00D44521" w:rsidP="00FE3DFF">
            <w:pPr>
              <w:jc w:val="both"/>
              <w:rPr>
                <w:rFonts w:ascii="Times" w:hAnsi="Times" w:cs="Times"/>
                <w:i/>
                <w:color w:val="000000"/>
              </w:rPr>
            </w:pPr>
            <w:r w:rsidRPr="00D44521">
              <w:rPr>
                <w:rFonts w:ascii="Times New Roman" w:hAnsi="Times New Roman" w:cs="Times New Roman"/>
                <w:i/>
                <w:sz w:val="24"/>
                <w:szCs w:val="24"/>
              </w:rPr>
              <w:lastRenderedPageBreak/>
              <w:t>(</w:t>
            </w:r>
            <w:r w:rsidRPr="00D44521">
              <w:rPr>
                <w:rFonts w:ascii="Times" w:hAnsi="Times" w:cs="Times"/>
                <w:i/>
                <w:color w:val="000000"/>
              </w:rPr>
              <w:t>A kizárólagos hasznosítási jog nem terjed ki)</w:t>
            </w:r>
          </w:p>
          <w:p w14:paraId="43B104AF" w14:textId="77777777" w:rsidR="00D44521" w:rsidRDefault="00D44521" w:rsidP="00FE3DFF">
            <w:pPr>
              <w:jc w:val="both"/>
              <w:rPr>
                <w:rFonts w:ascii="Times" w:hAnsi="Times" w:cs="Times"/>
                <w:i/>
                <w:color w:val="000000"/>
              </w:rPr>
            </w:pPr>
          </w:p>
          <w:p w14:paraId="790D987E" w14:textId="7F311A80" w:rsidR="00D44521" w:rsidRPr="007A0E6D" w:rsidRDefault="007A0E6D" w:rsidP="00FE3DFF">
            <w:pPr>
              <w:jc w:val="both"/>
              <w:rPr>
                <w:rFonts w:ascii="Times New Roman" w:hAnsi="Times New Roman" w:cs="Times New Roman"/>
                <w:sz w:val="24"/>
                <w:szCs w:val="24"/>
              </w:rPr>
            </w:pPr>
            <w:r>
              <w:rPr>
                <w:rFonts w:ascii="Times New Roman" w:hAnsi="Times New Roman" w:cs="Times New Roman"/>
                <w:i/>
                <w:sz w:val="24"/>
                <w:szCs w:val="24"/>
              </w:rPr>
              <w:t>„</w:t>
            </w:r>
            <w:r w:rsidRPr="007A0E6D">
              <w:rPr>
                <w:rFonts w:ascii="Times New Roman" w:hAnsi="Times New Roman" w:cs="Times New Roman"/>
                <w:i/>
                <w:sz w:val="24"/>
                <w:szCs w:val="24"/>
              </w:rPr>
              <w:t>b)</w:t>
            </w:r>
            <w:r w:rsidRPr="007A0E6D">
              <w:rPr>
                <w:rFonts w:ascii="Times New Roman" w:hAnsi="Times New Roman" w:cs="Times New Roman"/>
                <w:sz w:val="24"/>
                <w:szCs w:val="24"/>
              </w:rPr>
              <w:t xml:space="preserve"> a találmány tárgyával kapcsolatos kísérleti célú cselekményekre, ideértve a találmány tárgyát képező termék vagy a találmány tárgyát képező eljárással előállított termék </w:t>
            </w:r>
            <w:r w:rsidR="005870B7" w:rsidRPr="005870B7">
              <w:rPr>
                <w:rFonts w:ascii="Times New Roman" w:hAnsi="Times New Roman" w:cs="Times New Roman"/>
                <w:b/>
                <w:bCs/>
                <w:i/>
                <w:iCs/>
                <w:sz w:val="24"/>
                <w:szCs w:val="24"/>
                <w:u w:val="single"/>
              </w:rPr>
              <w:t>Európai Gazdasági Térség területén vagy harmadik országban történő</w:t>
            </w:r>
            <w:r w:rsidR="005870B7" w:rsidRPr="005870B7">
              <w:rPr>
                <w:rFonts w:ascii="Times New Roman" w:hAnsi="Times New Roman" w:cs="Times New Roman"/>
                <w:b/>
                <w:sz w:val="24"/>
                <w:szCs w:val="24"/>
              </w:rPr>
              <w:t xml:space="preserve"> </w:t>
            </w:r>
            <w:r w:rsidR="005870B7" w:rsidRPr="005F4DF0">
              <w:rPr>
                <w:rFonts w:ascii="Times New Roman" w:hAnsi="Times New Roman" w:cs="Times New Roman"/>
                <w:bCs/>
                <w:iCs/>
                <w:sz w:val="24"/>
                <w:szCs w:val="24"/>
              </w:rPr>
              <w:t>forgalomba hozatalának</w:t>
            </w:r>
            <w:r w:rsidR="0042600A">
              <w:rPr>
                <w:rFonts w:ascii="Times New Roman" w:hAnsi="Times New Roman" w:cs="Times New Roman"/>
                <w:bCs/>
                <w:iCs/>
                <w:sz w:val="24"/>
                <w:szCs w:val="24"/>
              </w:rPr>
              <w:t>,</w:t>
            </w:r>
            <w:r w:rsidR="005870B7" w:rsidRPr="00537747">
              <w:rPr>
                <w:rFonts w:ascii="Times New Roman" w:hAnsi="Times New Roman" w:cs="Times New Roman"/>
                <w:b/>
                <w:bCs/>
                <w:i/>
                <w:iCs/>
                <w:sz w:val="24"/>
                <w:szCs w:val="24"/>
              </w:rPr>
              <w:t xml:space="preserve"> </w:t>
            </w:r>
            <w:r w:rsidR="005870B7" w:rsidRPr="005F4DF0">
              <w:rPr>
                <w:rFonts w:ascii="Times New Roman" w:hAnsi="Times New Roman" w:cs="Times New Roman"/>
                <w:b/>
                <w:bCs/>
                <w:i/>
                <w:iCs/>
                <w:sz w:val="24"/>
                <w:szCs w:val="24"/>
                <w:u w:val="single"/>
              </w:rPr>
              <w:t xml:space="preserve">akár harmadik fél által </w:t>
            </w:r>
            <w:r w:rsidR="00E95CA1">
              <w:rPr>
                <w:rFonts w:ascii="Times New Roman" w:hAnsi="Times New Roman" w:cs="Times New Roman"/>
                <w:b/>
                <w:bCs/>
                <w:i/>
                <w:iCs/>
                <w:sz w:val="24"/>
                <w:szCs w:val="24"/>
                <w:u w:val="single"/>
              </w:rPr>
              <w:t xml:space="preserve">kezdeményezett </w:t>
            </w:r>
            <w:r w:rsidRPr="007A0E6D">
              <w:rPr>
                <w:rFonts w:ascii="Times New Roman" w:hAnsi="Times New Roman" w:cs="Times New Roman"/>
                <w:sz w:val="24"/>
                <w:szCs w:val="24"/>
              </w:rPr>
              <w:t>engedélyezéséhez szükséges kísérleteket és vizsgálatokat</w:t>
            </w:r>
            <w:r w:rsidR="005870B7" w:rsidRPr="00265EA9">
              <w:rPr>
                <w:rFonts w:ascii="Times New Roman" w:hAnsi="Times New Roman" w:cs="Times New Roman"/>
                <w:bCs/>
                <w:i/>
                <w:iCs/>
                <w:sz w:val="24"/>
                <w:szCs w:val="24"/>
              </w:rPr>
              <w:t>,</w:t>
            </w:r>
            <w:r w:rsidR="005870B7" w:rsidRPr="00265EA9">
              <w:rPr>
                <w:rFonts w:ascii="Times New Roman" w:hAnsi="Times New Roman" w:cs="Times New Roman"/>
                <w:b/>
                <w:bCs/>
                <w:i/>
                <w:iCs/>
                <w:sz w:val="24"/>
                <w:szCs w:val="24"/>
              </w:rPr>
              <w:t xml:space="preserve"> </w:t>
            </w:r>
            <w:r w:rsidR="00032C9B">
              <w:rPr>
                <w:rFonts w:ascii="Times New Roman" w:hAnsi="Times New Roman" w:cs="Times New Roman"/>
                <w:b/>
                <w:bCs/>
                <w:i/>
                <w:iCs/>
                <w:sz w:val="24"/>
                <w:szCs w:val="24"/>
                <w:u w:val="single"/>
              </w:rPr>
              <w:t>valamint</w:t>
            </w:r>
            <w:r w:rsidR="001757E3">
              <w:rPr>
                <w:rFonts w:ascii="Times New Roman" w:hAnsi="Times New Roman" w:cs="Times New Roman"/>
                <w:b/>
                <w:bCs/>
                <w:i/>
                <w:iCs/>
                <w:sz w:val="24"/>
                <w:szCs w:val="24"/>
                <w:u w:val="single"/>
              </w:rPr>
              <w:t xml:space="preserve"> </w:t>
            </w:r>
            <w:r w:rsidR="005870B7" w:rsidRPr="005F4DF0">
              <w:rPr>
                <w:rFonts w:ascii="Times New Roman" w:hAnsi="Times New Roman" w:cs="Times New Roman"/>
                <w:b/>
                <w:bCs/>
                <w:i/>
                <w:iCs/>
                <w:sz w:val="24"/>
                <w:szCs w:val="24"/>
                <w:u w:val="single"/>
              </w:rPr>
              <w:t>az ezekhez szü</w:t>
            </w:r>
            <w:r w:rsidR="005F4DF0" w:rsidRPr="005F4DF0">
              <w:rPr>
                <w:rFonts w:ascii="Times New Roman" w:hAnsi="Times New Roman" w:cs="Times New Roman"/>
                <w:b/>
                <w:bCs/>
                <w:i/>
                <w:iCs/>
                <w:sz w:val="24"/>
                <w:szCs w:val="24"/>
                <w:u w:val="single"/>
              </w:rPr>
              <w:t>kséges kapcsolódó cselekményeket,</w:t>
            </w:r>
            <w:r w:rsidR="005870B7" w:rsidRPr="005F4DF0">
              <w:rPr>
                <w:rFonts w:ascii="Times New Roman" w:hAnsi="Times New Roman" w:cs="Times New Roman"/>
                <w:b/>
                <w:bCs/>
                <w:i/>
                <w:iCs/>
                <w:sz w:val="24"/>
                <w:szCs w:val="24"/>
                <w:u w:val="single"/>
              </w:rPr>
              <w:t xml:space="preserve"> különösen a termék </w:t>
            </w:r>
            <w:r w:rsidR="00FF53D5">
              <w:rPr>
                <w:rFonts w:ascii="Times New Roman" w:hAnsi="Times New Roman" w:cs="Times New Roman"/>
                <w:b/>
                <w:bCs/>
                <w:i/>
                <w:iCs/>
                <w:sz w:val="24"/>
                <w:szCs w:val="24"/>
                <w:u w:val="single"/>
              </w:rPr>
              <w:t xml:space="preserve">19. § (2) bekezdés </w:t>
            </w:r>
            <w:r w:rsidR="00695CB9">
              <w:rPr>
                <w:rFonts w:ascii="Times New Roman" w:hAnsi="Times New Roman" w:cs="Times New Roman"/>
                <w:b/>
                <w:bCs/>
                <w:i/>
                <w:iCs/>
                <w:sz w:val="24"/>
                <w:szCs w:val="24"/>
                <w:u w:val="single"/>
              </w:rPr>
              <w:t>a</w:t>
            </w:r>
            <w:r w:rsidR="00FF53D5">
              <w:rPr>
                <w:rFonts w:ascii="Times New Roman" w:hAnsi="Times New Roman" w:cs="Times New Roman"/>
                <w:b/>
                <w:bCs/>
                <w:i/>
                <w:iCs/>
                <w:sz w:val="24"/>
                <w:szCs w:val="24"/>
                <w:u w:val="single"/>
              </w:rPr>
              <w:t>) pontj</w:t>
            </w:r>
            <w:r w:rsidR="00E95CA1">
              <w:rPr>
                <w:rFonts w:ascii="Times New Roman" w:hAnsi="Times New Roman" w:cs="Times New Roman"/>
                <w:b/>
                <w:bCs/>
                <w:i/>
                <w:iCs/>
                <w:sz w:val="24"/>
                <w:szCs w:val="24"/>
                <w:u w:val="single"/>
              </w:rPr>
              <w:t>ában meghatározott cselekményeket</w:t>
            </w:r>
            <w:r w:rsidR="005870B7" w:rsidRPr="005F4DF0">
              <w:rPr>
                <w:rFonts w:ascii="Times New Roman" w:hAnsi="Times New Roman" w:cs="Times New Roman"/>
                <w:bCs/>
                <w:iCs/>
                <w:sz w:val="24"/>
                <w:szCs w:val="24"/>
              </w:rPr>
              <w:t>;</w:t>
            </w:r>
          </w:p>
        </w:tc>
        <w:tc>
          <w:tcPr>
            <w:tcW w:w="4606" w:type="dxa"/>
          </w:tcPr>
          <w:p w14:paraId="19A021B2" w14:textId="77777777" w:rsidR="007A0E6D" w:rsidRDefault="007A0E6D" w:rsidP="00FE3DF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Az Szt. 19. § (6) bekezdés </w:t>
            </w:r>
            <w:r w:rsidRPr="00D44521">
              <w:rPr>
                <w:rFonts w:ascii="Times New Roman" w:hAnsi="Times New Roman" w:cs="Times New Roman"/>
                <w:i/>
                <w:sz w:val="24"/>
                <w:szCs w:val="24"/>
              </w:rPr>
              <w:t>b)</w:t>
            </w:r>
            <w:r>
              <w:rPr>
                <w:rFonts w:ascii="Times New Roman" w:hAnsi="Times New Roman" w:cs="Times New Roman"/>
                <w:sz w:val="24"/>
                <w:szCs w:val="24"/>
              </w:rPr>
              <w:t xml:space="preserve"> pontja helyébe a következő rendelkezés lép:</w:t>
            </w:r>
          </w:p>
          <w:p w14:paraId="2F397053" w14:textId="77777777" w:rsidR="007A0E6D" w:rsidRDefault="007A0E6D" w:rsidP="00FE3DFF">
            <w:pPr>
              <w:jc w:val="both"/>
              <w:rPr>
                <w:rFonts w:ascii="Times New Roman" w:hAnsi="Times New Roman" w:cs="Times New Roman"/>
                <w:sz w:val="24"/>
                <w:szCs w:val="24"/>
              </w:rPr>
            </w:pPr>
          </w:p>
          <w:p w14:paraId="4996DEA4" w14:textId="77777777" w:rsidR="007A0E6D" w:rsidRDefault="007A0E6D" w:rsidP="00FE3DFF">
            <w:pPr>
              <w:jc w:val="both"/>
              <w:rPr>
                <w:rFonts w:ascii="Times" w:hAnsi="Times" w:cs="Times"/>
                <w:i/>
                <w:color w:val="000000"/>
              </w:rPr>
            </w:pPr>
            <w:r w:rsidRPr="00D44521">
              <w:rPr>
                <w:rFonts w:ascii="Times New Roman" w:hAnsi="Times New Roman" w:cs="Times New Roman"/>
                <w:i/>
                <w:sz w:val="24"/>
                <w:szCs w:val="24"/>
              </w:rPr>
              <w:lastRenderedPageBreak/>
              <w:t>(</w:t>
            </w:r>
            <w:r w:rsidRPr="00D44521">
              <w:rPr>
                <w:rFonts w:ascii="Times" w:hAnsi="Times" w:cs="Times"/>
                <w:i/>
                <w:color w:val="000000"/>
              </w:rPr>
              <w:t>A kizárólagos hasznosítási jog nem terjed ki)</w:t>
            </w:r>
          </w:p>
          <w:p w14:paraId="3BE82626" w14:textId="77777777" w:rsidR="007A0E6D" w:rsidRDefault="007A0E6D" w:rsidP="00FE3DFF">
            <w:pPr>
              <w:jc w:val="both"/>
              <w:rPr>
                <w:rFonts w:ascii="Times" w:hAnsi="Times" w:cs="Times"/>
                <w:i/>
                <w:color w:val="000000"/>
              </w:rPr>
            </w:pPr>
          </w:p>
          <w:p w14:paraId="540C6136" w14:textId="01C69797" w:rsidR="00D44521" w:rsidRDefault="00537747" w:rsidP="00FE3DFF">
            <w:pPr>
              <w:jc w:val="both"/>
              <w:rPr>
                <w:rFonts w:ascii="Times New Roman" w:hAnsi="Times New Roman" w:cs="Times New Roman"/>
                <w:sz w:val="24"/>
                <w:szCs w:val="24"/>
              </w:rPr>
            </w:pPr>
            <w:r>
              <w:rPr>
                <w:rFonts w:ascii="Times New Roman" w:hAnsi="Times New Roman" w:cs="Times New Roman"/>
                <w:i/>
                <w:sz w:val="24"/>
                <w:szCs w:val="24"/>
              </w:rPr>
              <w:t>„</w:t>
            </w:r>
            <w:r w:rsidRPr="007A0E6D">
              <w:rPr>
                <w:rFonts w:ascii="Times New Roman" w:hAnsi="Times New Roman" w:cs="Times New Roman"/>
                <w:i/>
                <w:sz w:val="24"/>
                <w:szCs w:val="24"/>
              </w:rPr>
              <w:t>b)</w:t>
            </w:r>
            <w:r w:rsidRPr="007A0E6D">
              <w:rPr>
                <w:rFonts w:ascii="Times New Roman" w:hAnsi="Times New Roman" w:cs="Times New Roman"/>
                <w:sz w:val="24"/>
                <w:szCs w:val="24"/>
              </w:rPr>
              <w:t xml:space="preserve"> a találmány tárgyával kapcsolatos kísérleti célú cselekményekre, ideértve</w:t>
            </w:r>
            <w:r w:rsidR="00032C9B">
              <w:rPr>
                <w:rFonts w:ascii="Times New Roman" w:hAnsi="Times New Roman" w:cs="Times New Roman"/>
                <w:sz w:val="24"/>
                <w:szCs w:val="24"/>
              </w:rPr>
              <w:t xml:space="preserve"> </w:t>
            </w:r>
            <w:r w:rsidRPr="007A0E6D">
              <w:rPr>
                <w:rFonts w:ascii="Times New Roman" w:hAnsi="Times New Roman" w:cs="Times New Roman"/>
                <w:sz w:val="24"/>
                <w:szCs w:val="24"/>
              </w:rPr>
              <w:t xml:space="preserve">a találmány tárgyát képező termék vagy a találmány tárgyát képező eljárással előállított termék </w:t>
            </w:r>
            <w:r w:rsidRPr="005870B7">
              <w:rPr>
                <w:rFonts w:ascii="Times New Roman" w:hAnsi="Times New Roman" w:cs="Times New Roman"/>
                <w:b/>
                <w:bCs/>
                <w:i/>
                <w:iCs/>
                <w:sz w:val="24"/>
                <w:szCs w:val="24"/>
                <w:u w:val="single"/>
              </w:rPr>
              <w:t>Európai Gazdasági Térség területén vagy harmadik országban történő</w:t>
            </w:r>
            <w:r w:rsidRPr="005870B7">
              <w:rPr>
                <w:rFonts w:ascii="Times New Roman" w:hAnsi="Times New Roman" w:cs="Times New Roman"/>
                <w:b/>
                <w:sz w:val="24"/>
                <w:szCs w:val="24"/>
              </w:rPr>
              <w:t xml:space="preserve"> </w:t>
            </w:r>
            <w:r w:rsidRPr="005F4DF0">
              <w:rPr>
                <w:rFonts w:ascii="Times New Roman" w:hAnsi="Times New Roman" w:cs="Times New Roman"/>
                <w:bCs/>
                <w:iCs/>
                <w:sz w:val="24"/>
                <w:szCs w:val="24"/>
              </w:rPr>
              <w:t>forgalomba hozatalának</w:t>
            </w:r>
            <w:r w:rsidRPr="00537747">
              <w:rPr>
                <w:rFonts w:ascii="Times New Roman" w:hAnsi="Times New Roman" w:cs="Times New Roman"/>
                <w:b/>
                <w:bCs/>
                <w:i/>
                <w:iCs/>
                <w:sz w:val="24"/>
                <w:szCs w:val="24"/>
              </w:rPr>
              <w:t xml:space="preserve"> </w:t>
            </w:r>
            <w:r w:rsidRPr="005F4DF0">
              <w:rPr>
                <w:rFonts w:ascii="Times New Roman" w:hAnsi="Times New Roman" w:cs="Times New Roman"/>
                <w:b/>
                <w:bCs/>
                <w:i/>
                <w:iCs/>
                <w:sz w:val="24"/>
                <w:szCs w:val="24"/>
                <w:u w:val="single"/>
              </w:rPr>
              <w:t>céljából kérelmezett</w:t>
            </w:r>
            <w:r w:rsidRPr="007A0E6D">
              <w:rPr>
                <w:rFonts w:ascii="Times New Roman" w:hAnsi="Times New Roman" w:cs="Times New Roman"/>
                <w:sz w:val="24"/>
                <w:szCs w:val="24"/>
              </w:rPr>
              <w:t xml:space="preserve"> engedélyezéséhez szükséges kísérleteket és vizsgálatokat</w:t>
            </w:r>
            <w:r w:rsidRPr="00265EA9">
              <w:rPr>
                <w:rFonts w:ascii="Times New Roman" w:hAnsi="Times New Roman" w:cs="Times New Roman"/>
                <w:bCs/>
                <w:i/>
                <w:iCs/>
                <w:sz w:val="24"/>
                <w:szCs w:val="24"/>
              </w:rPr>
              <w:t>,</w:t>
            </w:r>
            <w:r w:rsidRPr="00265EA9">
              <w:rPr>
                <w:rFonts w:ascii="Times New Roman" w:hAnsi="Times New Roman" w:cs="Times New Roman"/>
                <w:b/>
                <w:bCs/>
                <w:i/>
                <w:iCs/>
                <w:sz w:val="24"/>
                <w:szCs w:val="24"/>
              </w:rPr>
              <w:t xml:space="preserve"> </w:t>
            </w:r>
            <w:r w:rsidR="001757E3">
              <w:rPr>
                <w:rFonts w:ascii="Times New Roman" w:hAnsi="Times New Roman" w:cs="Times New Roman"/>
                <w:b/>
                <w:bCs/>
                <w:i/>
                <w:iCs/>
                <w:sz w:val="24"/>
                <w:szCs w:val="24"/>
                <w:u w:val="single"/>
              </w:rPr>
              <w:t>valamint</w:t>
            </w:r>
            <w:r w:rsidRPr="005F4DF0">
              <w:rPr>
                <w:rFonts w:ascii="Times New Roman" w:hAnsi="Times New Roman" w:cs="Times New Roman"/>
                <w:b/>
                <w:bCs/>
                <w:i/>
                <w:iCs/>
                <w:sz w:val="24"/>
                <w:szCs w:val="24"/>
                <w:u w:val="single"/>
              </w:rPr>
              <w:t xml:space="preserve"> az ezekhez szükséges kapcsolódó cselekményeket, különösen a termék </w:t>
            </w:r>
            <w:r w:rsidR="00FF53D5">
              <w:rPr>
                <w:rFonts w:ascii="Times New Roman" w:hAnsi="Times New Roman" w:cs="Times New Roman"/>
                <w:b/>
                <w:bCs/>
                <w:i/>
                <w:iCs/>
                <w:sz w:val="24"/>
                <w:szCs w:val="24"/>
                <w:u w:val="single"/>
              </w:rPr>
              <w:t xml:space="preserve">19. § (2) bekezdés </w:t>
            </w:r>
            <w:r w:rsidR="00695CB9">
              <w:rPr>
                <w:rFonts w:ascii="Times New Roman" w:hAnsi="Times New Roman" w:cs="Times New Roman"/>
                <w:b/>
                <w:bCs/>
                <w:i/>
                <w:iCs/>
                <w:sz w:val="24"/>
                <w:szCs w:val="24"/>
                <w:u w:val="single"/>
              </w:rPr>
              <w:t>a</w:t>
            </w:r>
            <w:r w:rsidR="00FF53D5">
              <w:rPr>
                <w:rFonts w:ascii="Times New Roman" w:hAnsi="Times New Roman" w:cs="Times New Roman"/>
                <w:b/>
                <w:bCs/>
                <w:i/>
                <w:iCs/>
                <w:sz w:val="24"/>
                <w:szCs w:val="24"/>
                <w:u w:val="single"/>
              </w:rPr>
              <w:t>) pontj</w:t>
            </w:r>
            <w:r w:rsidR="002A08E8">
              <w:rPr>
                <w:rFonts w:ascii="Times New Roman" w:hAnsi="Times New Roman" w:cs="Times New Roman"/>
                <w:b/>
                <w:bCs/>
                <w:i/>
                <w:iCs/>
                <w:sz w:val="24"/>
                <w:szCs w:val="24"/>
                <w:u w:val="single"/>
              </w:rPr>
              <w:t>ában meghatározott cselekményeket</w:t>
            </w:r>
            <w:r w:rsidRPr="007D6356">
              <w:rPr>
                <w:rFonts w:ascii="Times New Roman" w:hAnsi="Times New Roman" w:cs="Times New Roman"/>
                <w:bCs/>
                <w:iCs/>
                <w:sz w:val="24"/>
                <w:szCs w:val="24"/>
              </w:rPr>
              <w:t>;</w:t>
            </w:r>
          </w:p>
        </w:tc>
      </w:tr>
    </w:tbl>
    <w:p w14:paraId="0E988763" w14:textId="77777777" w:rsidR="00A018E4" w:rsidRPr="00265EA9" w:rsidRDefault="00A018E4" w:rsidP="00FE3DFF">
      <w:pPr>
        <w:pStyle w:val="Listaszerbekezds"/>
        <w:spacing w:after="0"/>
        <w:ind w:left="1004"/>
        <w:jc w:val="both"/>
        <w:rPr>
          <w:rFonts w:ascii="Times New Roman" w:hAnsi="Times New Roman" w:cs="Times New Roman"/>
          <w:sz w:val="24"/>
          <w:szCs w:val="24"/>
        </w:rPr>
      </w:pPr>
    </w:p>
    <w:p w14:paraId="0C8E8875" w14:textId="77777777" w:rsidR="003935DF" w:rsidRDefault="00D4279B" w:rsidP="00FE3DFF">
      <w:pPr>
        <w:pStyle w:val="Listaszerbekezds"/>
        <w:spacing w:after="0"/>
        <w:ind w:left="0"/>
        <w:jc w:val="both"/>
        <w:rPr>
          <w:rFonts w:ascii="Times New Roman" w:hAnsi="Times New Roman" w:cs="Times New Roman"/>
          <w:b/>
          <w:sz w:val="24"/>
          <w:szCs w:val="24"/>
        </w:rPr>
      </w:pPr>
      <w:r w:rsidRPr="009B6CB6">
        <w:rPr>
          <w:rFonts w:ascii="Times New Roman" w:hAnsi="Times New Roman" w:cs="Times New Roman"/>
          <w:b/>
          <w:sz w:val="24"/>
          <w:szCs w:val="24"/>
        </w:rPr>
        <w:t>Mindkét szövegváltozat</w:t>
      </w:r>
      <w:r w:rsidR="003935DF">
        <w:rPr>
          <w:rFonts w:ascii="Times New Roman" w:hAnsi="Times New Roman" w:cs="Times New Roman"/>
          <w:b/>
          <w:sz w:val="24"/>
          <w:szCs w:val="24"/>
        </w:rPr>
        <w:t xml:space="preserve"> </w:t>
      </w:r>
    </w:p>
    <w:p w14:paraId="5315996A" w14:textId="77777777" w:rsidR="00910D70" w:rsidRPr="003935DF" w:rsidRDefault="00D4279B" w:rsidP="00FE3DFF">
      <w:pPr>
        <w:pStyle w:val="Listaszerbekezds"/>
        <w:numPr>
          <w:ilvl w:val="0"/>
          <w:numId w:val="23"/>
        </w:numPr>
        <w:spacing w:after="0"/>
        <w:jc w:val="both"/>
        <w:rPr>
          <w:rFonts w:ascii="Times New Roman" w:hAnsi="Times New Roman" w:cs="Times New Roman"/>
          <w:b/>
          <w:sz w:val="24"/>
          <w:szCs w:val="24"/>
        </w:rPr>
      </w:pPr>
      <w:r w:rsidRPr="003935DF">
        <w:rPr>
          <w:rFonts w:ascii="Times New Roman" w:hAnsi="Times New Roman" w:cs="Times New Roman"/>
          <w:sz w:val="24"/>
          <w:szCs w:val="24"/>
        </w:rPr>
        <w:t xml:space="preserve">egyértelműsíti, hogy a kivétel hatálya alá tartozó cselekmények </w:t>
      </w:r>
      <w:r w:rsidRPr="003935DF">
        <w:rPr>
          <w:rFonts w:ascii="Times New Roman" w:hAnsi="Times New Roman" w:cs="Times New Roman"/>
          <w:bCs/>
          <w:sz w:val="24"/>
          <w:szCs w:val="24"/>
        </w:rPr>
        <w:t xml:space="preserve">bármely országban </w:t>
      </w:r>
      <w:r w:rsidRPr="003935DF">
        <w:rPr>
          <w:rFonts w:ascii="Times New Roman" w:hAnsi="Times New Roman" w:cs="Times New Roman"/>
          <w:sz w:val="24"/>
          <w:szCs w:val="24"/>
        </w:rPr>
        <w:t>(az EU-ban és az EU-n kívüli országokban is)</w:t>
      </w:r>
      <w:r w:rsidRPr="003935DF">
        <w:rPr>
          <w:rFonts w:ascii="Times New Roman" w:hAnsi="Times New Roman" w:cs="Times New Roman"/>
          <w:bCs/>
          <w:sz w:val="24"/>
          <w:szCs w:val="24"/>
        </w:rPr>
        <w:t xml:space="preserve"> történő engedélyezés, törzskönyvezés céljából </w:t>
      </w:r>
      <w:r w:rsidR="00AE29C5" w:rsidRPr="003935DF">
        <w:rPr>
          <w:rFonts w:ascii="Times New Roman" w:hAnsi="Times New Roman" w:cs="Times New Roman"/>
          <w:sz w:val="24"/>
          <w:szCs w:val="24"/>
        </w:rPr>
        <w:t>elvégezhetők</w:t>
      </w:r>
      <w:r w:rsidR="003935DF">
        <w:rPr>
          <w:rFonts w:ascii="Times New Roman" w:hAnsi="Times New Roman" w:cs="Times New Roman"/>
          <w:sz w:val="24"/>
          <w:szCs w:val="24"/>
        </w:rPr>
        <w:t>, és</w:t>
      </w:r>
    </w:p>
    <w:p w14:paraId="7EAB5816" w14:textId="534AE5B5" w:rsidR="003935DF" w:rsidRPr="003935DF" w:rsidRDefault="003935DF" w:rsidP="00FE3DFF">
      <w:pPr>
        <w:pStyle w:val="Listaszerbekezds"/>
        <w:numPr>
          <w:ilvl w:val="0"/>
          <w:numId w:val="23"/>
        </w:numPr>
        <w:spacing w:after="0"/>
        <w:jc w:val="both"/>
        <w:rPr>
          <w:rFonts w:ascii="Times New Roman" w:hAnsi="Times New Roman" w:cs="Times New Roman"/>
          <w:b/>
          <w:sz w:val="24"/>
          <w:szCs w:val="24"/>
        </w:rPr>
      </w:pPr>
      <w:r>
        <w:rPr>
          <w:rFonts w:ascii="Times New Roman" w:hAnsi="Times New Roman" w:cs="Times New Roman"/>
          <w:sz w:val="24"/>
          <w:szCs w:val="24"/>
        </w:rPr>
        <w:t xml:space="preserve">példálózó felsorolásban rögzíti a kivétel alapján megvalósítható </w:t>
      </w:r>
      <w:r w:rsidR="004D6B1B">
        <w:rPr>
          <w:rFonts w:ascii="Times New Roman" w:hAnsi="Times New Roman" w:cs="Times New Roman"/>
          <w:sz w:val="24"/>
          <w:szCs w:val="24"/>
        </w:rPr>
        <w:t>cselekményeket.</w:t>
      </w:r>
    </w:p>
    <w:p w14:paraId="0E5F495E" w14:textId="77777777" w:rsidR="00A6662F" w:rsidRPr="00265EA9" w:rsidRDefault="00A6662F" w:rsidP="00FE3DFF">
      <w:pPr>
        <w:pStyle w:val="Listaszerbekezds"/>
        <w:spacing w:after="0"/>
        <w:jc w:val="both"/>
        <w:rPr>
          <w:rFonts w:ascii="Times New Roman" w:hAnsi="Times New Roman" w:cs="Times New Roman"/>
          <w:sz w:val="24"/>
          <w:szCs w:val="24"/>
        </w:rPr>
      </w:pPr>
    </w:p>
    <w:p w14:paraId="788E5AE9" w14:textId="798FAA19" w:rsidR="00117AA5" w:rsidRDefault="00A6662F" w:rsidP="00FE3DFF">
      <w:pPr>
        <w:pStyle w:val="Listaszerbekezds"/>
        <w:spacing w:after="0"/>
        <w:ind w:left="0"/>
        <w:jc w:val="both"/>
        <w:rPr>
          <w:rFonts w:ascii="Times New Roman" w:hAnsi="Times New Roman" w:cs="Times New Roman"/>
          <w:bCs/>
          <w:sz w:val="24"/>
          <w:szCs w:val="24"/>
        </w:rPr>
      </w:pPr>
      <w:r w:rsidRPr="003935DF">
        <w:rPr>
          <w:rFonts w:ascii="Times New Roman" w:hAnsi="Times New Roman" w:cs="Times New Roman"/>
          <w:b/>
          <w:sz w:val="24"/>
          <w:szCs w:val="24"/>
        </w:rPr>
        <w:t>A sz</w:t>
      </w:r>
      <w:r w:rsidR="00C850EE">
        <w:rPr>
          <w:rFonts w:ascii="Times New Roman" w:hAnsi="Times New Roman" w:cs="Times New Roman"/>
          <w:b/>
          <w:sz w:val="24"/>
          <w:szCs w:val="24"/>
        </w:rPr>
        <w:t>övegváltozatok közötti eltérés</w:t>
      </w:r>
      <w:r w:rsidR="00C850EE" w:rsidRPr="00466471">
        <w:rPr>
          <w:rFonts w:ascii="Times New Roman" w:hAnsi="Times New Roman" w:cs="Times New Roman"/>
          <w:bCs/>
          <w:sz w:val="24"/>
          <w:szCs w:val="24"/>
        </w:rPr>
        <w:t xml:space="preserve">ként azonosítható, hogy </w:t>
      </w:r>
      <w:r w:rsidR="00177766" w:rsidRPr="00265EA9">
        <w:rPr>
          <w:rFonts w:ascii="Times New Roman" w:hAnsi="Times New Roman" w:cs="Times New Roman"/>
          <w:sz w:val="24"/>
          <w:szCs w:val="24"/>
        </w:rPr>
        <w:t xml:space="preserve">míg az </w:t>
      </w:r>
      <w:r w:rsidR="003935DF">
        <w:rPr>
          <w:rFonts w:ascii="Times New Roman" w:hAnsi="Times New Roman" w:cs="Times New Roman"/>
          <w:sz w:val="24"/>
          <w:szCs w:val="24"/>
        </w:rPr>
        <w:t>„</w:t>
      </w:r>
      <w:r w:rsidR="00177766" w:rsidRPr="00265EA9">
        <w:rPr>
          <w:rFonts w:ascii="Times New Roman" w:hAnsi="Times New Roman" w:cs="Times New Roman"/>
          <w:sz w:val="24"/>
          <w:szCs w:val="24"/>
        </w:rPr>
        <w:t>A</w:t>
      </w:r>
      <w:r w:rsidR="003935DF">
        <w:rPr>
          <w:rFonts w:ascii="Times New Roman" w:hAnsi="Times New Roman" w:cs="Times New Roman"/>
          <w:sz w:val="24"/>
          <w:szCs w:val="24"/>
        </w:rPr>
        <w:t>”</w:t>
      </w:r>
      <w:r w:rsidR="00177766" w:rsidRPr="00265EA9">
        <w:rPr>
          <w:rFonts w:ascii="Times New Roman" w:hAnsi="Times New Roman" w:cs="Times New Roman"/>
          <w:sz w:val="24"/>
          <w:szCs w:val="24"/>
        </w:rPr>
        <w:t xml:space="preserve"> </w:t>
      </w:r>
      <w:r w:rsidR="003935DF">
        <w:rPr>
          <w:rFonts w:ascii="Times New Roman" w:hAnsi="Times New Roman" w:cs="Times New Roman"/>
          <w:sz w:val="24"/>
          <w:szCs w:val="24"/>
        </w:rPr>
        <w:t>opció</w:t>
      </w:r>
      <w:r w:rsidR="00177766" w:rsidRPr="00265EA9">
        <w:rPr>
          <w:rFonts w:ascii="Times New Roman" w:hAnsi="Times New Roman" w:cs="Times New Roman"/>
          <w:sz w:val="24"/>
          <w:szCs w:val="24"/>
        </w:rPr>
        <w:t xml:space="preserve"> kiterjeszti a Bolar kivételt a forgalomba</w:t>
      </w:r>
      <w:r w:rsidR="003E44E7" w:rsidRPr="00265EA9">
        <w:rPr>
          <w:rFonts w:ascii="Arial" w:hAnsi="Arial" w:cs="Arial"/>
          <w:bCs/>
          <w:color w:val="000000"/>
          <w:sz w:val="24"/>
          <w:szCs w:val="24"/>
        </w:rPr>
        <w:t xml:space="preserve"> </w:t>
      </w:r>
      <w:r w:rsidR="003E44E7" w:rsidRPr="00265EA9">
        <w:rPr>
          <w:rFonts w:ascii="Times New Roman" w:hAnsi="Times New Roman" w:cs="Times New Roman"/>
          <w:bCs/>
          <w:sz w:val="24"/>
          <w:szCs w:val="24"/>
        </w:rPr>
        <w:t>hozatali engedély iránti kérelmet benyújtó személytől eltérő olyan harmadik</w:t>
      </w:r>
      <w:r w:rsidR="00177766" w:rsidRPr="00265EA9">
        <w:rPr>
          <w:rFonts w:ascii="Times New Roman" w:hAnsi="Times New Roman" w:cs="Times New Roman"/>
          <w:sz w:val="24"/>
          <w:szCs w:val="24"/>
        </w:rPr>
        <w:t xml:space="preserve"> személy</w:t>
      </w:r>
      <w:r w:rsidR="00374E99" w:rsidRPr="00265EA9">
        <w:rPr>
          <w:rFonts w:ascii="Times New Roman" w:hAnsi="Times New Roman" w:cs="Times New Roman"/>
          <w:sz w:val="24"/>
          <w:szCs w:val="24"/>
        </w:rPr>
        <w:t>re</w:t>
      </w:r>
      <w:r w:rsidR="004D6B1B">
        <w:rPr>
          <w:rFonts w:ascii="Times New Roman" w:hAnsi="Times New Roman" w:cs="Times New Roman"/>
          <w:sz w:val="24"/>
          <w:szCs w:val="24"/>
        </w:rPr>
        <w:t xml:space="preserve"> is</w:t>
      </w:r>
      <w:r w:rsidR="003E44E7" w:rsidRPr="00265EA9">
        <w:rPr>
          <w:rFonts w:ascii="Times New Roman" w:hAnsi="Times New Roman" w:cs="Times New Roman"/>
          <w:sz w:val="24"/>
          <w:szCs w:val="24"/>
        </w:rPr>
        <w:t xml:space="preserve">, a </w:t>
      </w:r>
      <w:r w:rsidR="003935DF">
        <w:rPr>
          <w:rFonts w:ascii="Times New Roman" w:hAnsi="Times New Roman" w:cs="Times New Roman"/>
          <w:sz w:val="24"/>
          <w:szCs w:val="24"/>
        </w:rPr>
        <w:t>„</w:t>
      </w:r>
      <w:r w:rsidR="003E44E7" w:rsidRPr="00265EA9">
        <w:rPr>
          <w:rFonts w:ascii="Times New Roman" w:hAnsi="Times New Roman" w:cs="Times New Roman"/>
          <w:sz w:val="24"/>
          <w:szCs w:val="24"/>
        </w:rPr>
        <w:t>B</w:t>
      </w:r>
      <w:r w:rsidR="003935DF">
        <w:rPr>
          <w:rFonts w:ascii="Times New Roman" w:hAnsi="Times New Roman" w:cs="Times New Roman"/>
          <w:sz w:val="24"/>
          <w:szCs w:val="24"/>
        </w:rPr>
        <w:t>”</w:t>
      </w:r>
      <w:r w:rsidR="003E44E7" w:rsidRPr="00265EA9">
        <w:rPr>
          <w:rFonts w:ascii="Times New Roman" w:hAnsi="Times New Roman" w:cs="Times New Roman"/>
          <w:sz w:val="24"/>
          <w:szCs w:val="24"/>
        </w:rPr>
        <w:t xml:space="preserve"> </w:t>
      </w:r>
      <w:r w:rsidR="003935DF">
        <w:rPr>
          <w:rFonts w:ascii="Times New Roman" w:hAnsi="Times New Roman" w:cs="Times New Roman"/>
          <w:sz w:val="24"/>
          <w:szCs w:val="24"/>
        </w:rPr>
        <w:t>opció</w:t>
      </w:r>
      <w:r w:rsidR="00CC4B75" w:rsidRPr="00265EA9">
        <w:rPr>
          <w:rFonts w:ascii="Times New Roman" w:hAnsi="Times New Roman" w:cs="Times New Roman"/>
          <w:sz w:val="24"/>
          <w:szCs w:val="24"/>
        </w:rPr>
        <w:t xml:space="preserve"> ezzel szemben</w:t>
      </w:r>
      <w:r w:rsidR="003E44E7" w:rsidRPr="00265EA9">
        <w:rPr>
          <w:rFonts w:ascii="Times New Roman" w:hAnsi="Times New Roman" w:cs="Times New Roman"/>
          <w:sz w:val="24"/>
          <w:szCs w:val="24"/>
        </w:rPr>
        <w:t xml:space="preserve"> meghagyja a </w:t>
      </w:r>
      <w:r w:rsidR="00703D44" w:rsidRPr="00265EA9">
        <w:rPr>
          <w:rFonts w:ascii="Times New Roman" w:hAnsi="Times New Roman" w:cs="Times New Roman"/>
          <w:sz w:val="24"/>
          <w:szCs w:val="24"/>
        </w:rPr>
        <w:t>Bolar kivétel jelenlegi személyi hatályát, vagyis az csak a forgalomba</w:t>
      </w:r>
      <w:r w:rsidR="00703D44" w:rsidRPr="00265EA9">
        <w:rPr>
          <w:rFonts w:ascii="Times New Roman" w:hAnsi="Times New Roman" w:cs="Times New Roman"/>
          <w:bCs/>
          <w:sz w:val="24"/>
          <w:szCs w:val="24"/>
        </w:rPr>
        <w:t xml:space="preserve"> hozatali engedély iránti kérelmet benyújtó személyre terjed</w:t>
      </w:r>
      <w:r w:rsidR="00CC4B75" w:rsidRPr="00265EA9">
        <w:rPr>
          <w:rFonts w:ascii="Times New Roman" w:hAnsi="Times New Roman" w:cs="Times New Roman"/>
          <w:bCs/>
          <w:sz w:val="24"/>
          <w:szCs w:val="24"/>
        </w:rPr>
        <w:t>ne</w:t>
      </w:r>
      <w:r w:rsidR="00C850EE">
        <w:rPr>
          <w:rFonts w:ascii="Times New Roman" w:hAnsi="Times New Roman" w:cs="Times New Roman"/>
          <w:bCs/>
          <w:sz w:val="24"/>
          <w:szCs w:val="24"/>
        </w:rPr>
        <w:t xml:space="preserve"> ki.</w:t>
      </w:r>
    </w:p>
    <w:p w14:paraId="54FC1422" w14:textId="77777777" w:rsidR="004D6B1B" w:rsidRDefault="004D6B1B" w:rsidP="00FE3DFF">
      <w:pPr>
        <w:pStyle w:val="Listaszerbekezds"/>
        <w:spacing w:after="0"/>
        <w:ind w:left="0"/>
        <w:jc w:val="both"/>
        <w:rPr>
          <w:rFonts w:ascii="Times New Roman" w:hAnsi="Times New Roman" w:cs="Times New Roman"/>
          <w:bCs/>
          <w:sz w:val="24"/>
          <w:szCs w:val="24"/>
        </w:rPr>
      </w:pPr>
    </w:p>
    <w:p w14:paraId="73E86330" w14:textId="3C37D081" w:rsidR="00276AE1" w:rsidRPr="00276AE1" w:rsidRDefault="004D6B1B" w:rsidP="00FE3DFF">
      <w:pPr>
        <w:pStyle w:val="Listaszerbekezds"/>
        <w:numPr>
          <w:ilvl w:val="0"/>
          <w:numId w:val="18"/>
        </w:numPr>
        <w:spacing w:after="0"/>
        <w:jc w:val="both"/>
        <w:rPr>
          <w:rFonts w:ascii="Times New Roman" w:hAnsi="Times New Roman" w:cs="Times New Roman"/>
          <w:b/>
          <w:bCs/>
          <w:sz w:val="24"/>
          <w:szCs w:val="24"/>
        </w:rPr>
      </w:pPr>
      <w:r w:rsidRPr="00FA4B92">
        <w:rPr>
          <w:rFonts w:ascii="Times New Roman" w:hAnsi="Times New Roman" w:cs="Times New Roman"/>
          <w:b/>
          <w:bCs/>
          <w:sz w:val="24"/>
          <w:szCs w:val="24"/>
        </w:rPr>
        <w:t>alternatíva</w:t>
      </w:r>
      <w:r w:rsidRPr="004D6B1B">
        <w:rPr>
          <w:rFonts w:ascii="Times New Roman" w:hAnsi="Times New Roman" w:cs="Times New Roman"/>
          <w:bCs/>
          <w:sz w:val="24"/>
          <w:szCs w:val="24"/>
        </w:rPr>
        <w:t>: a</w:t>
      </w:r>
      <w:r w:rsidRPr="00FA4B92">
        <w:rPr>
          <w:rFonts w:ascii="Times New Roman" w:hAnsi="Times New Roman" w:cs="Times New Roman"/>
          <w:bCs/>
          <w:sz w:val="24"/>
          <w:szCs w:val="24"/>
        </w:rPr>
        <w:t xml:space="preserve"> Bolar kivétel hatályos szabályozásának módosítása indokolt, mert annak jelenlegi szabályozása többféle értelmezésnek is teret enged, és ez az érintett szakmai és iparági szereplők visszajelzései alapján jogértelmezési problémákhoz és gyakorlati nehézségekhez vezet.</w:t>
      </w:r>
      <w:r>
        <w:rPr>
          <w:rFonts w:ascii="Times New Roman" w:hAnsi="Times New Roman" w:cs="Times New Roman"/>
          <w:bCs/>
          <w:sz w:val="24"/>
          <w:szCs w:val="24"/>
        </w:rPr>
        <w:t xml:space="preserve"> A Bolar szabályozás uniós jogi</w:t>
      </w:r>
      <w:r w:rsidR="005366FA">
        <w:rPr>
          <w:rFonts w:ascii="Times New Roman" w:hAnsi="Times New Roman" w:cs="Times New Roman"/>
          <w:bCs/>
          <w:sz w:val="24"/>
          <w:szCs w:val="24"/>
        </w:rPr>
        <w:t xml:space="preserve"> lefedettségénél fogva, a szabályozással összefüggésben jelzett problémák kezelése elsős</w:t>
      </w:r>
      <w:r w:rsidR="003E5041">
        <w:rPr>
          <w:rFonts w:ascii="Times New Roman" w:hAnsi="Times New Roman" w:cs="Times New Roman"/>
          <w:bCs/>
          <w:sz w:val="24"/>
          <w:szCs w:val="24"/>
        </w:rPr>
        <w:t xml:space="preserve">orban </w:t>
      </w:r>
      <w:r w:rsidR="005366FA">
        <w:rPr>
          <w:rFonts w:ascii="Times New Roman" w:hAnsi="Times New Roman" w:cs="Times New Roman"/>
          <w:bCs/>
          <w:sz w:val="24"/>
          <w:szCs w:val="24"/>
        </w:rPr>
        <w:t>uniós, és nem nemzeti szinten lenne célravezető.</w:t>
      </w:r>
      <w:r w:rsidR="00AA700B" w:rsidRPr="00AA700B">
        <w:rPr>
          <w:rFonts w:ascii="Times New Roman" w:eastAsia="Calibri" w:hAnsi="Times New Roman" w:cs="Times New Roman"/>
          <w:bCs/>
          <w:sz w:val="24"/>
          <w:lang w:eastAsia="hu-HU"/>
        </w:rPr>
        <w:t xml:space="preserve"> </w:t>
      </w:r>
      <w:r w:rsidR="00AA700B" w:rsidRPr="00AA700B">
        <w:rPr>
          <w:rFonts w:ascii="Times New Roman" w:hAnsi="Times New Roman" w:cs="Times New Roman"/>
          <w:bCs/>
          <w:sz w:val="24"/>
          <w:szCs w:val="24"/>
        </w:rPr>
        <w:t>Itt szükséges megjegyezni, hogy az Európai Bizottság</w:t>
      </w:r>
      <w:r w:rsidR="00276AE1">
        <w:rPr>
          <w:rFonts w:ascii="Times New Roman" w:hAnsi="Times New Roman" w:cs="Times New Roman"/>
          <w:bCs/>
          <w:sz w:val="24"/>
          <w:szCs w:val="24"/>
        </w:rPr>
        <w:t xml:space="preserve"> (a továbbiakban: Bizottság)</w:t>
      </w:r>
      <w:r w:rsidR="00AA700B" w:rsidRPr="00AA700B">
        <w:rPr>
          <w:rFonts w:ascii="Times New Roman" w:hAnsi="Times New Roman" w:cs="Times New Roman"/>
          <w:bCs/>
          <w:sz w:val="24"/>
          <w:szCs w:val="24"/>
        </w:rPr>
        <w:t xml:space="preserve"> 2020. november 25-én közzétett a szellemi tulajdonnal kapcsolatos cselekvési terve</w:t>
      </w:r>
      <w:r w:rsidR="00AA700B" w:rsidRPr="00AA700B">
        <w:rPr>
          <w:rFonts w:ascii="Times New Roman" w:hAnsi="Times New Roman" w:cs="Times New Roman"/>
          <w:bCs/>
          <w:sz w:val="24"/>
          <w:szCs w:val="24"/>
          <w:vertAlign w:val="superscript"/>
        </w:rPr>
        <w:footnoteReference w:id="27"/>
      </w:r>
      <w:r w:rsidR="00AA700B" w:rsidRPr="00AA700B">
        <w:rPr>
          <w:rFonts w:ascii="Times New Roman" w:hAnsi="Times New Roman" w:cs="Times New Roman"/>
          <w:bCs/>
          <w:sz w:val="24"/>
          <w:szCs w:val="24"/>
        </w:rPr>
        <w:t xml:space="preserve"> említést tesz arról, hogy a Bizottság az új európai gyógyszerstratégiában előirányozottak szerint a generikus és bioszimiláris gyógyszeripar érdekeit is szem előtt tartó megközelítéssel e gyártók gyors piacra lépésének elősegítésén is dolgozni fog, konkrétan nevesítve a Bolar kivétel lehetséges felülvizsgálatát.</w:t>
      </w:r>
      <w:r w:rsidR="003E5041">
        <w:rPr>
          <w:rFonts w:ascii="Times New Roman" w:hAnsi="Times New Roman" w:cs="Times New Roman"/>
          <w:bCs/>
          <w:sz w:val="24"/>
          <w:szCs w:val="24"/>
        </w:rPr>
        <w:t xml:space="preserve"> </w:t>
      </w:r>
    </w:p>
    <w:p w14:paraId="2C576AC8" w14:textId="39B82DD7" w:rsidR="004D6B1B" w:rsidRPr="009B2064" w:rsidRDefault="003E5041" w:rsidP="009B2064">
      <w:pPr>
        <w:pStyle w:val="Listaszerbekezds"/>
        <w:spacing w:after="0"/>
        <w:ind w:left="360" w:firstLine="348"/>
        <w:jc w:val="both"/>
        <w:rPr>
          <w:rFonts w:ascii="Times New Roman" w:hAnsi="Times New Roman" w:cs="Times New Roman"/>
          <w:b/>
          <w:bCs/>
          <w:sz w:val="24"/>
          <w:szCs w:val="24"/>
        </w:rPr>
      </w:pPr>
      <w:r w:rsidRPr="009B2064">
        <w:rPr>
          <w:rFonts w:ascii="Times New Roman" w:hAnsi="Times New Roman" w:cs="Times New Roman"/>
          <w:bCs/>
          <w:sz w:val="24"/>
          <w:szCs w:val="24"/>
        </w:rPr>
        <w:t>Ezen alternatíva esetén Magyarország</w:t>
      </w:r>
      <w:r w:rsidR="006C117B" w:rsidRPr="009B2064">
        <w:rPr>
          <w:rFonts w:ascii="Times New Roman" w:hAnsi="Times New Roman" w:cs="Times New Roman"/>
          <w:bCs/>
          <w:sz w:val="24"/>
          <w:szCs w:val="24"/>
        </w:rPr>
        <w:t xml:space="preserve"> </w:t>
      </w:r>
      <w:r w:rsidR="003F29F5">
        <w:rPr>
          <w:rFonts w:ascii="Times New Roman" w:hAnsi="Times New Roman" w:cs="Times New Roman"/>
          <w:bCs/>
          <w:sz w:val="24"/>
          <w:szCs w:val="24"/>
        </w:rPr>
        <w:t xml:space="preserve">támogatná a Bizottság elképzeléseit </w:t>
      </w:r>
      <w:r w:rsidR="006C117B" w:rsidRPr="009B2064">
        <w:rPr>
          <w:rFonts w:ascii="Times New Roman" w:hAnsi="Times New Roman" w:cs="Times New Roman"/>
          <w:bCs/>
          <w:sz w:val="24"/>
          <w:szCs w:val="24"/>
        </w:rPr>
        <w:t xml:space="preserve">a felmerült kérdések uniós szintű kezelése </w:t>
      </w:r>
      <w:r w:rsidR="003F29F5">
        <w:rPr>
          <w:rFonts w:ascii="Times New Roman" w:hAnsi="Times New Roman" w:cs="Times New Roman"/>
          <w:bCs/>
          <w:sz w:val="24"/>
          <w:szCs w:val="24"/>
        </w:rPr>
        <w:t>tekintetében</w:t>
      </w:r>
      <w:r w:rsidR="006C117B" w:rsidRPr="009B2064">
        <w:rPr>
          <w:rFonts w:ascii="Times New Roman" w:hAnsi="Times New Roman" w:cs="Times New Roman"/>
          <w:bCs/>
          <w:sz w:val="24"/>
          <w:szCs w:val="24"/>
        </w:rPr>
        <w:t>.</w:t>
      </w:r>
    </w:p>
    <w:p w14:paraId="08428C97" w14:textId="77777777" w:rsidR="00CC4B75" w:rsidRPr="00265EA9" w:rsidRDefault="00CC4B75" w:rsidP="00FE3DFF">
      <w:pPr>
        <w:pStyle w:val="Listaszerbekezds"/>
        <w:spacing w:after="0"/>
        <w:ind w:left="644"/>
        <w:jc w:val="both"/>
        <w:rPr>
          <w:rFonts w:ascii="Times New Roman" w:hAnsi="Times New Roman" w:cs="Times New Roman"/>
          <w:bCs/>
          <w:sz w:val="24"/>
          <w:szCs w:val="24"/>
        </w:rPr>
      </w:pPr>
    </w:p>
    <w:p w14:paraId="7C183EB7" w14:textId="5808EFC0" w:rsidR="00CC4B75" w:rsidRDefault="00CC4B75" w:rsidP="00276AE1">
      <w:pPr>
        <w:pStyle w:val="Listaszerbekezds"/>
        <w:numPr>
          <w:ilvl w:val="0"/>
          <w:numId w:val="13"/>
        </w:numPr>
        <w:spacing w:after="0"/>
        <w:jc w:val="both"/>
        <w:rPr>
          <w:rFonts w:ascii="Times New Roman félkövér" w:hAnsi="Times New Roman félkövér" w:cs="Times New Roman"/>
          <w:b/>
          <w:smallCaps/>
          <w:sz w:val="24"/>
          <w:szCs w:val="24"/>
        </w:rPr>
      </w:pPr>
      <w:r w:rsidRPr="009B6CB6">
        <w:rPr>
          <w:rFonts w:ascii="Times New Roman félkövér" w:hAnsi="Times New Roman félkövér" w:cs="Times New Roman"/>
          <w:b/>
          <w:smallCaps/>
          <w:sz w:val="24"/>
          <w:szCs w:val="24"/>
        </w:rPr>
        <w:t>Vitaorientáló kérdések</w:t>
      </w:r>
    </w:p>
    <w:p w14:paraId="69E2852B" w14:textId="77777777" w:rsidR="00507F93" w:rsidRPr="009B6CB6" w:rsidRDefault="00507F93" w:rsidP="00276AE1">
      <w:pPr>
        <w:pStyle w:val="Listaszerbekezds"/>
        <w:spacing w:after="0"/>
        <w:ind w:left="360"/>
        <w:jc w:val="both"/>
        <w:rPr>
          <w:rFonts w:ascii="Times New Roman félkövér" w:hAnsi="Times New Roman félkövér" w:cs="Times New Roman"/>
          <w:b/>
          <w:smallCaps/>
          <w:sz w:val="24"/>
          <w:szCs w:val="24"/>
        </w:rPr>
      </w:pPr>
    </w:p>
    <w:p w14:paraId="492AE5B8" w14:textId="77EEA8F6" w:rsidR="00CC4B75" w:rsidRPr="00610E02" w:rsidRDefault="00507F93" w:rsidP="00276AE1">
      <w:pPr>
        <w:pStyle w:val="Listaszerbekezds"/>
        <w:numPr>
          <w:ilvl w:val="0"/>
          <w:numId w:val="12"/>
        </w:numPr>
        <w:spacing w:after="0"/>
        <w:ind w:left="567"/>
        <w:jc w:val="both"/>
        <w:rPr>
          <w:rFonts w:ascii="Times New Roman" w:hAnsi="Times New Roman" w:cs="Times New Roman"/>
          <w:b/>
          <w:sz w:val="24"/>
          <w:szCs w:val="24"/>
        </w:rPr>
      </w:pPr>
      <w:r>
        <w:rPr>
          <w:rFonts w:ascii="Times New Roman" w:hAnsi="Times New Roman" w:cs="Times New Roman"/>
          <w:b/>
          <w:sz w:val="24"/>
          <w:szCs w:val="24"/>
        </w:rPr>
        <w:lastRenderedPageBreak/>
        <w:t>Á</w:t>
      </w:r>
      <w:r w:rsidR="00C8293F" w:rsidRPr="00610E02">
        <w:rPr>
          <w:rFonts w:ascii="Times New Roman" w:hAnsi="Times New Roman" w:cs="Times New Roman"/>
          <w:b/>
          <w:sz w:val="24"/>
          <w:szCs w:val="24"/>
        </w:rPr>
        <w:t>lláspontja szerint</w:t>
      </w:r>
      <w:r w:rsidR="002830CD" w:rsidRPr="00610E02">
        <w:rPr>
          <w:rFonts w:ascii="Times New Roman" w:hAnsi="Times New Roman" w:cs="Times New Roman"/>
          <w:b/>
          <w:sz w:val="24"/>
          <w:szCs w:val="24"/>
        </w:rPr>
        <w:t xml:space="preserve"> </w:t>
      </w:r>
      <w:r w:rsidR="00C8293F" w:rsidRPr="00610E02">
        <w:rPr>
          <w:rFonts w:ascii="Times New Roman" w:hAnsi="Times New Roman" w:cs="Times New Roman"/>
          <w:b/>
          <w:sz w:val="24"/>
          <w:szCs w:val="24"/>
        </w:rPr>
        <w:t xml:space="preserve">szükséges-e </w:t>
      </w:r>
      <w:r w:rsidR="00CC4B75" w:rsidRPr="00610E02">
        <w:rPr>
          <w:rFonts w:ascii="Times New Roman" w:hAnsi="Times New Roman" w:cs="Times New Roman"/>
          <w:b/>
          <w:sz w:val="24"/>
          <w:szCs w:val="24"/>
        </w:rPr>
        <w:t>az Szt. Bolar kivételre von</w:t>
      </w:r>
      <w:r w:rsidR="00AC4FA6" w:rsidRPr="00610E02">
        <w:rPr>
          <w:rFonts w:ascii="Times New Roman" w:hAnsi="Times New Roman" w:cs="Times New Roman"/>
          <w:b/>
          <w:sz w:val="24"/>
          <w:szCs w:val="24"/>
        </w:rPr>
        <w:t xml:space="preserve">atkozó </w:t>
      </w:r>
      <w:r w:rsidR="00C8293F" w:rsidRPr="00610E02">
        <w:rPr>
          <w:rFonts w:ascii="Times New Roman" w:hAnsi="Times New Roman" w:cs="Times New Roman"/>
          <w:b/>
          <w:sz w:val="24"/>
          <w:szCs w:val="24"/>
        </w:rPr>
        <w:t>hatályos szabályozásának felülvizsgálata</w:t>
      </w:r>
      <w:r w:rsidR="00CC4B75" w:rsidRPr="00610E02">
        <w:rPr>
          <w:rFonts w:ascii="Times New Roman" w:hAnsi="Times New Roman" w:cs="Times New Roman"/>
          <w:b/>
          <w:sz w:val="24"/>
          <w:szCs w:val="24"/>
        </w:rPr>
        <w:t>?</w:t>
      </w:r>
      <w:r w:rsidR="00953064">
        <w:rPr>
          <w:rFonts w:ascii="Times New Roman" w:hAnsi="Times New Roman" w:cs="Times New Roman"/>
          <w:b/>
          <w:sz w:val="24"/>
          <w:szCs w:val="24"/>
        </w:rPr>
        <w:t xml:space="preserve"> A vitaanyag végén szereplő, továbblépési irányokat megjelenítő alternatívák közül melyikkel ért egyet?</w:t>
      </w:r>
    </w:p>
    <w:p w14:paraId="0DBBABC6" w14:textId="55F67400" w:rsidR="00CC4B75" w:rsidRPr="00610E02" w:rsidRDefault="00585EF2" w:rsidP="00276AE1">
      <w:pPr>
        <w:pStyle w:val="Listaszerbekezds"/>
        <w:numPr>
          <w:ilvl w:val="0"/>
          <w:numId w:val="12"/>
        </w:numPr>
        <w:spacing w:after="0"/>
        <w:ind w:left="567"/>
        <w:jc w:val="both"/>
        <w:rPr>
          <w:rFonts w:ascii="Times New Roman" w:hAnsi="Times New Roman" w:cs="Times New Roman"/>
          <w:b/>
          <w:sz w:val="24"/>
          <w:szCs w:val="24"/>
        </w:rPr>
      </w:pPr>
      <w:r w:rsidRPr="00610E02">
        <w:rPr>
          <w:rFonts w:ascii="Times New Roman" w:hAnsi="Times New Roman" w:cs="Times New Roman"/>
          <w:b/>
          <w:sz w:val="24"/>
          <w:szCs w:val="24"/>
        </w:rPr>
        <w:t xml:space="preserve">Egyetért-e a jelenlegi szabályozás </w:t>
      </w:r>
      <w:r w:rsidR="00AC4FA6" w:rsidRPr="00610E02">
        <w:rPr>
          <w:rFonts w:ascii="Times New Roman" w:hAnsi="Times New Roman" w:cs="Times New Roman"/>
          <w:b/>
          <w:sz w:val="24"/>
          <w:szCs w:val="24"/>
        </w:rPr>
        <w:t xml:space="preserve">azon </w:t>
      </w:r>
      <w:r w:rsidRPr="00610E02">
        <w:rPr>
          <w:rFonts w:ascii="Times New Roman" w:hAnsi="Times New Roman" w:cs="Times New Roman"/>
          <w:b/>
          <w:sz w:val="24"/>
          <w:szCs w:val="24"/>
        </w:rPr>
        <w:t>módosításával</w:t>
      </w:r>
      <w:r w:rsidR="00FA111D" w:rsidRPr="00610E02">
        <w:rPr>
          <w:rFonts w:ascii="Times New Roman" w:hAnsi="Times New Roman" w:cs="Times New Roman"/>
          <w:b/>
          <w:sz w:val="24"/>
          <w:szCs w:val="24"/>
        </w:rPr>
        <w:t xml:space="preserve">, amely lehetővé tenné, hogy </w:t>
      </w:r>
      <w:r w:rsidR="00454D12" w:rsidRPr="00610E02">
        <w:rPr>
          <w:rFonts w:ascii="Times New Roman" w:hAnsi="Times New Roman" w:cs="Times New Roman"/>
          <w:b/>
          <w:sz w:val="24"/>
          <w:szCs w:val="24"/>
        </w:rPr>
        <w:t xml:space="preserve">a kivétel hatálya alá tartozó cselekmények </w:t>
      </w:r>
      <w:r w:rsidR="00454D12" w:rsidRPr="00610E02">
        <w:rPr>
          <w:rFonts w:ascii="Times New Roman" w:hAnsi="Times New Roman" w:cs="Times New Roman"/>
          <w:b/>
          <w:bCs/>
          <w:sz w:val="24"/>
          <w:szCs w:val="24"/>
        </w:rPr>
        <w:t xml:space="preserve">bármely országban </w:t>
      </w:r>
      <w:r w:rsidR="00454D12" w:rsidRPr="00610E02">
        <w:rPr>
          <w:rFonts w:ascii="Times New Roman" w:hAnsi="Times New Roman" w:cs="Times New Roman"/>
          <w:b/>
          <w:sz w:val="24"/>
          <w:szCs w:val="24"/>
        </w:rPr>
        <w:t>(az EU-ban és az EU-n kívüli országokban is)</w:t>
      </w:r>
      <w:r w:rsidR="00454D12" w:rsidRPr="00610E02">
        <w:rPr>
          <w:rFonts w:ascii="Times New Roman" w:hAnsi="Times New Roman" w:cs="Times New Roman"/>
          <w:b/>
          <w:bCs/>
          <w:sz w:val="24"/>
          <w:szCs w:val="24"/>
        </w:rPr>
        <w:t xml:space="preserve"> történő engedélyezés, törzskönyvezés céljából is </w:t>
      </w:r>
      <w:r w:rsidR="00454D12" w:rsidRPr="00610E02">
        <w:rPr>
          <w:rFonts w:ascii="Times New Roman" w:hAnsi="Times New Roman" w:cs="Times New Roman"/>
          <w:b/>
          <w:sz w:val="24"/>
          <w:szCs w:val="24"/>
        </w:rPr>
        <w:t>elvégezhetők legyenek</w:t>
      </w:r>
      <w:r w:rsidR="00B765C7">
        <w:rPr>
          <w:rFonts w:ascii="Times New Roman" w:hAnsi="Times New Roman" w:cs="Times New Roman"/>
          <w:b/>
          <w:sz w:val="24"/>
          <w:szCs w:val="24"/>
        </w:rPr>
        <w:t xml:space="preserve"> [2. alternatíva b) pont]</w:t>
      </w:r>
      <w:r w:rsidR="00454D12" w:rsidRPr="00610E02">
        <w:rPr>
          <w:rFonts w:ascii="Times New Roman" w:hAnsi="Times New Roman" w:cs="Times New Roman"/>
          <w:b/>
          <w:sz w:val="24"/>
          <w:szCs w:val="24"/>
        </w:rPr>
        <w:t>?</w:t>
      </w:r>
    </w:p>
    <w:p w14:paraId="73B97BEE" w14:textId="4C23B453" w:rsidR="00454D12" w:rsidRPr="00610E02" w:rsidRDefault="00AE3A21" w:rsidP="00276AE1">
      <w:pPr>
        <w:pStyle w:val="Listaszerbekezds"/>
        <w:numPr>
          <w:ilvl w:val="0"/>
          <w:numId w:val="12"/>
        </w:numPr>
        <w:spacing w:after="0"/>
        <w:ind w:left="567"/>
        <w:jc w:val="both"/>
        <w:rPr>
          <w:rFonts w:ascii="Times New Roman" w:hAnsi="Times New Roman" w:cs="Times New Roman"/>
          <w:b/>
          <w:sz w:val="24"/>
          <w:szCs w:val="24"/>
        </w:rPr>
      </w:pPr>
      <w:r w:rsidRPr="00610E02">
        <w:rPr>
          <w:rFonts w:ascii="Times New Roman" w:hAnsi="Times New Roman" w:cs="Times New Roman"/>
          <w:b/>
          <w:sz w:val="24"/>
          <w:szCs w:val="24"/>
        </w:rPr>
        <w:t xml:space="preserve">Egyetért-e egy olyan </w:t>
      </w:r>
      <w:r w:rsidR="004F4A0B" w:rsidRPr="00610E02">
        <w:rPr>
          <w:rFonts w:ascii="Times New Roman" w:hAnsi="Times New Roman" w:cs="Times New Roman"/>
          <w:b/>
          <w:sz w:val="24"/>
          <w:szCs w:val="24"/>
        </w:rPr>
        <w:t>szövegmódosítási javaslattal</w:t>
      </w:r>
      <w:r w:rsidR="000C5DC6" w:rsidRPr="00610E02">
        <w:rPr>
          <w:rFonts w:ascii="Times New Roman" w:hAnsi="Times New Roman" w:cs="Times New Roman"/>
          <w:b/>
          <w:sz w:val="24"/>
          <w:szCs w:val="24"/>
        </w:rPr>
        <w:t>, amely</w:t>
      </w:r>
      <w:r w:rsidR="000B0366" w:rsidRPr="00610E02">
        <w:rPr>
          <w:rFonts w:ascii="Times New Roman" w:hAnsi="Times New Roman" w:cs="Times New Roman"/>
          <w:b/>
          <w:sz w:val="24"/>
          <w:szCs w:val="24"/>
        </w:rPr>
        <w:t xml:space="preserve"> példálózó</w:t>
      </w:r>
      <w:r w:rsidRPr="00610E02">
        <w:rPr>
          <w:rFonts w:ascii="Times New Roman" w:hAnsi="Times New Roman" w:cs="Times New Roman"/>
          <w:b/>
          <w:sz w:val="24"/>
          <w:szCs w:val="24"/>
        </w:rPr>
        <w:t xml:space="preserve"> jelleggel</w:t>
      </w:r>
      <w:r w:rsidR="00C8293F" w:rsidRPr="00610E02">
        <w:rPr>
          <w:rFonts w:ascii="Times New Roman" w:hAnsi="Times New Roman" w:cs="Times New Roman"/>
          <w:b/>
          <w:sz w:val="24"/>
          <w:szCs w:val="24"/>
        </w:rPr>
        <w:t xml:space="preserve"> meghatározná</w:t>
      </w:r>
      <w:r w:rsidRPr="00610E02">
        <w:rPr>
          <w:rFonts w:ascii="Times New Roman" w:hAnsi="Times New Roman" w:cs="Times New Roman"/>
          <w:b/>
          <w:sz w:val="24"/>
          <w:szCs w:val="24"/>
        </w:rPr>
        <w:t xml:space="preserve"> </w:t>
      </w:r>
      <w:r w:rsidR="000C5DC6" w:rsidRPr="00610E02">
        <w:rPr>
          <w:rFonts w:ascii="Times New Roman" w:hAnsi="Times New Roman" w:cs="Times New Roman"/>
          <w:b/>
          <w:sz w:val="24"/>
          <w:szCs w:val="24"/>
        </w:rPr>
        <w:t>a Bolar kivétel hatálya alá tartozó cselekményeket</w:t>
      </w:r>
      <w:r w:rsidR="00AC4FA6" w:rsidRPr="00610E02">
        <w:rPr>
          <w:rFonts w:ascii="Times New Roman" w:hAnsi="Times New Roman" w:cs="Times New Roman"/>
          <w:b/>
          <w:sz w:val="24"/>
          <w:szCs w:val="24"/>
        </w:rPr>
        <w:t xml:space="preserve">? </w:t>
      </w:r>
      <w:r w:rsidRPr="00610E02">
        <w:rPr>
          <w:rFonts w:ascii="Times New Roman" w:hAnsi="Times New Roman" w:cs="Times New Roman"/>
          <w:b/>
          <w:sz w:val="24"/>
          <w:szCs w:val="24"/>
        </w:rPr>
        <w:t xml:space="preserve">Egyetért-e a fenti javaslatokban szereplő </w:t>
      </w:r>
      <w:r w:rsidR="006C117B">
        <w:rPr>
          <w:rFonts w:ascii="Times New Roman" w:hAnsi="Times New Roman" w:cs="Times New Roman"/>
          <w:b/>
          <w:sz w:val="24"/>
          <w:szCs w:val="24"/>
        </w:rPr>
        <w:t xml:space="preserve">cselekményi </w:t>
      </w:r>
      <w:r w:rsidRPr="00610E02">
        <w:rPr>
          <w:rFonts w:ascii="Times New Roman" w:hAnsi="Times New Roman" w:cs="Times New Roman"/>
          <w:b/>
          <w:sz w:val="24"/>
          <w:szCs w:val="24"/>
        </w:rPr>
        <w:t>körrel?</w:t>
      </w:r>
      <w:r w:rsidR="00B765C7" w:rsidRPr="00B765C7">
        <w:rPr>
          <w:rFonts w:ascii="Times New Roman" w:hAnsi="Times New Roman" w:cs="Times New Roman"/>
          <w:b/>
          <w:sz w:val="24"/>
          <w:szCs w:val="24"/>
        </w:rPr>
        <w:t xml:space="preserve"> [2. alternatív</w:t>
      </w:r>
      <w:r w:rsidR="00B765C7">
        <w:rPr>
          <w:rFonts w:ascii="Times New Roman" w:hAnsi="Times New Roman" w:cs="Times New Roman"/>
          <w:b/>
          <w:sz w:val="24"/>
          <w:szCs w:val="24"/>
        </w:rPr>
        <w:t>a c</w:t>
      </w:r>
      <w:r w:rsidR="00B765C7" w:rsidRPr="00B765C7">
        <w:rPr>
          <w:rFonts w:ascii="Times New Roman" w:hAnsi="Times New Roman" w:cs="Times New Roman"/>
          <w:b/>
          <w:sz w:val="24"/>
          <w:szCs w:val="24"/>
        </w:rPr>
        <w:t>) pont]</w:t>
      </w:r>
    </w:p>
    <w:p w14:paraId="528198C2" w14:textId="2E259169" w:rsidR="00E25B3F" w:rsidRPr="00E25B3F" w:rsidRDefault="00AB660A" w:rsidP="00276AE1">
      <w:pPr>
        <w:pStyle w:val="Listaszerbekezds"/>
        <w:numPr>
          <w:ilvl w:val="0"/>
          <w:numId w:val="12"/>
        </w:numPr>
        <w:spacing w:after="0"/>
        <w:ind w:left="567"/>
        <w:jc w:val="both"/>
        <w:rPr>
          <w:rFonts w:ascii="Times New Roman" w:hAnsi="Times New Roman" w:cs="Times New Roman"/>
          <w:b/>
          <w:sz w:val="24"/>
          <w:szCs w:val="24"/>
        </w:rPr>
      </w:pPr>
      <w:r w:rsidRPr="00610E02">
        <w:rPr>
          <w:rFonts w:ascii="Times New Roman" w:hAnsi="Times New Roman" w:cs="Times New Roman"/>
          <w:b/>
          <w:sz w:val="24"/>
          <w:szCs w:val="24"/>
        </w:rPr>
        <w:t>Egyetért-e a Bolar kivétel</w:t>
      </w:r>
      <w:r w:rsidR="00053E02" w:rsidRPr="00610E02">
        <w:rPr>
          <w:rFonts w:ascii="Times New Roman" w:hAnsi="Times New Roman" w:cs="Times New Roman"/>
          <w:b/>
          <w:sz w:val="24"/>
          <w:szCs w:val="24"/>
        </w:rPr>
        <w:t xml:space="preserve"> – a forgalomba</w:t>
      </w:r>
      <w:r w:rsidR="00053E02" w:rsidRPr="00610E02">
        <w:rPr>
          <w:rFonts w:ascii="Times New Roman" w:hAnsi="Times New Roman" w:cs="Times New Roman"/>
          <w:b/>
          <w:bCs/>
          <w:sz w:val="24"/>
          <w:szCs w:val="24"/>
        </w:rPr>
        <w:t xml:space="preserve"> hozatali engedélyt kérelmező személytől eltérő – </w:t>
      </w:r>
      <w:r w:rsidR="006B3EB8" w:rsidRPr="00610E02">
        <w:rPr>
          <w:rFonts w:ascii="Times New Roman" w:hAnsi="Times New Roman" w:cs="Times New Roman"/>
          <w:b/>
          <w:bCs/>
          <w:sz w:val="24"/>
          <w:szCs w:val="24"/>
        </w:rPr>
        <w:t xml:space="preserve">olyan </w:t>
      </w:r>
      <w:r w:rsidR="00053E02" w:rsidRPr="00610E02">
        <w:rPr>
          <w:rFonts w:ascii="Times New Roman" w:hAnsi="Times New Roman" w:cs="Times New Roman"/>
          <w:b/>
          <w:bCs/>
          <w:sz w:val="24"/>
          <w:szCs w:val="24"/>
        </w:rPr>
        <w:t>harmadik személyre történő kiterjesztésével, aki</w:t>
      </w:r>
      <w:r w:rsidR="006C117B" w:rsidRPr="006C117B">
        <w:rPr>
          <w:rFonts w:ascii="Times New Roman" w:hAnsi="Times New Roman" w:cs="Times New Roman"/>
          <w:b/>
          <w:bCs/>
          <w:sz w:val="24"/>
          <w:szCs w:val="24"/>
        </w:rPr>
        <w:t xml:space="preserve"> a kutatás-fejlesztési és engedélyezési folyamatban</w:t>
      </w:r>
      <w:r w:rsidR="006C117B">
        <w:rPr>
          <w:rFonts w:ascii="Times New Roman" w:hAnsi="Times New Roman" w:cs="Times New Roman"/>
          <w:b/>
          <w:bCs/>
          <w:sz w:val="24"/>
          <w:szCs w:val="24"/>
        </w:rPr>
        <w:t xml:space="preserve"> együttműködik a</w:t>
      </w:r>
      <w:r w:rsidR="00B765C7">
        <w:rPr>
          <w:rFonts w:ascii="Times New Roman" w:hAnsi="Times New Roman" w:cs="Times New Roman"/>
          <w:b/>
          <w:bCs/>
          <w:sz w:val="24"/>
          <w:szCs w:val="24"/>
        </w:rPr>
        <w:t xml:space="preserve"> kérelmezővel</w:t>
      </w:r>
      <w:r w:rsidR="006C117B">
        <w:rPr>
          <w:rFonts w:ascii="Times New Roman" w:hAnsi="Times New Roman" w:cs="Times New Roman"/>
          <w:b/>
          <w:bCs/>
          <w:sz w:val="24"/>
          <w:szCs w:val="24"/>
        </w:rPr>
        <w:t xml:space="preserve">? </w:t>
      </w:r>
      <w:r w:rsidR="00CB7724" w:rsidRPr="00610E02">
        <w:rPr>
          <w:rFonts w:ascii="Times New Roman" w:hAnsi="Times New Roman" w:cs="Times New Roman"/>
          <w:b/>
          <w:bCs/>
          <w:sz w:val="24"/>
          <w:szCs w:val="24"/>
        </w:rPr>
        <w:t>Álláspontja szerint összeegyeztethető-e az Európai Unió jogával, illetve az irányadó nemzetközi joggal?</w:t>
      </w:r>
      <w:r w:rsidR="00723A98" w:rsidRPr="00610E02">
        <w:rPr>
          <w:rFonts w:ascii="Times New Roman" w:hAnsi="Times New Roman" w:cs="Times New Roman"/>
          <w:b/>
          <w:bCs/>
          <w:sz w:val="24"/>
          <w:szCs w:val="24"/>
        </w:rPr>
        <w:t xml:space="preserve"> </w:t>
      </w:r>
      <w:r w:rsidR="00AE3A21" w:rsidRPr="00610E02">
        <w:rPr>
          <w:rFonts w:ascii="Times New Roman" w:hAnsi="Times New Roman" w:cs="Times New Roman"/>
          <w:b/>
          <w:bCs/>
          <w:sz w:val="24"/>
          <w:szCs w:val="24"/>
        </w:rPr>
        <w:t>Ha nem, v</w:t>
      </w:r>
      <w:r w:rsidR="00723A98" w:rsidRPr="00610E02">
        <w:rPr>
          <w:rFonts w:ascii="Times New Roman" w:hAnsi="Times New Roman" w:cs="Times New Roman"/>
          <w:b/>
          <w:bCs/>
          <w:sz w:val="24"/>
          <w:szCs w:val="24"/>
        </w:rPr>
        <w:t>an-e</w:t>
      </w:r>
      <w:r w:rsidR="00542A16" w:rsidRPr="00610E02">
        <w:rPr>
          <w:rFonts w:ascii="Times New Roman" w:hAnsi="Times New Roman" w:cs="Times New Roman"/>
          <w:b/>
          <w:bCs/>
          <w:sz w:val="24"/>
          <w:szCs w:val="24"/>
        </w:rPr>
        <w:t xml:space="preserve"> a </w:t>
      </w:r>
      <w:r w:rsidR="00AE3A21" w:rsidRPr="00610E02">
        <w:rPr>
          <w:rFonts w:ascii="Times New Roman" w:hAnsi="Times New Roman" w:cs="Times New Roman"/>
          <w:b/>
          <w:bCs/>
          <w:sz w:val="24"/>
          <w:szCs w:val="24"/>
        </w:rPr>
        <w:t xml:space="preserve">fenti </w:t>
      </w:r>
      <w:r w:rsidR="00542A16" w:rsidRPr="00610E02">
        <w:rPr>
          <w:rFonts w:ascii="Times New Roman" w:hAnsi="Times New Roman" w:cs="Times New Roman"/>
          <w:b/>
          <w:bCs/>
          <w:sz w:val="24"/>
          <w:szCs w:val="24"/>
        </w:rPr>
        <w:t>javaslattól eltérő,</w:t>
      </w:r>
      <w:r w:rsidR="00723A98" w:rsidRPr="00610E02">
        <w:rPr>
          <w:rFonts w:ascii="Times New Roman" w:hAnsi="Times New Roman" w:cs="Times New Roman"/>
          <w:b/>
          <w:bCs/>
          <w:sz w:val="24"/>
          <w:szCs w:val="24"/>
        </w:rPr>
        <w:t xml:space="preserve"> alternatív javaslata</w:t>
      </w:r>
      <w:r w:rsidR="002830CD" w:rsidRPr="00610E02">
        <w:rPr>
          <w:rFonts w:ascii="Times New Roman" w:hAnsi="Times New Roman" w:cs="Times New Roman"/>
          <w:b/>
          <w:bCs/>
          <w:sz w:val="24"/>
          <w:szCs w:val="24"/>
        </w:rPr>
        <w:t xml:space="preserve"> a kivétel</w:t>
      </w:r>
      <w:r w:rsidR="00AE3A21" w:rsidRPr="00610E02">
        <w:rPr>
          <w:rFonts w:ascii="Times New Roman" w:hAnsi="Times New Roman" w:cs="Times New Roman"/>
          <w:b/>
          <w:bCs/>
          <w:sz w:val="24"/>
          <w:szCs w:val="24"/>
        </w:rPr>
        <w:t xml:space="preserve"> személyi hatályának kiterjesztésére</w:t>
      </w:r>
      <w:r w:rsidR="006C4FD0" w:rsidRPr="00610E02">
        <w:rPr>
          <w:rFonts w:ascii="Times New Roman" w:hAnsi="Times New Roman" w:cs="Times New Roman"/>
          <w:b/>
          <w:bCs/>
          <w:sz w:val="24"/>
          <w:szCs w:val="24"/>
        </w:rPr>
        <w:t xml:space="preserve"> (pl. a kivétel kiterjesztése egymással kutatási-fejlesztési megállapodást kötött hasznosítókra)</w:t>
      </w:r>
      <w:r w:rsidR="002830CD" w:rsidRPr="00610E02">
        <w:rPr>
          <w:rFonts w:ascii="Times New Roman" w:hAnsi="Times New Roman" w:cs="Times New Roman"/>
          <w:b/>
          <w:bCs/>
          <w:sz w:val="24"/>
          <w:szCs w:val="24"/>
        </w:rPr>
        <w:t>?</w:t>
      </w:r>
      <w:r w:rsidR="00E25B3F">
        <w:rPr>
          <w:rFonts w:ascii="Times New Roman" w:hAnsi="Times New Roman" w:cs="Times New Roman"/>
          <w:b/>
          <w:bCs/>
          <w:sz w:val="24"/>
          <w:szCs w:val="24"/>
        </w:rPr>
        <w:t xml:space="preserve"> </w:t>
      </w:r>
    </w:p>
    <w:p w14:paraId="2DD451B9" w14:textId="60777450" w:rsidR="00AB660A" w:rsidRPr="00610E02" w:rsidRDefault="00B765C7" w:rsidP="00276AE1">
      <w:pPr>
        <w:pStyle w:val="Listaszerbekezds"/>
        <w:numPr>
          <w:ilvl w:val="0"/>
          <w:numId w:val="12"/>
        </w:numPr>
        <w:spacing w:after="0"/>
        <w:ind w:left="567"/>
        <w:jc w:val="both"/>
        <w:rPr>
          <w:rFonts w:ascii="Times New Roman" w:hAnsi="Times New Roman" w:cs="Times New Roman"/>
          <w:b/>
          <w:sz w:val="24"/>
          <w:szCs w:val="24"/>
        </w:rPr>
      </w:pPr>
      <w:r>
        <w:rPr>
          <w:rFonts w:ascii="Times New Roman" w:hAnsi="Times New Roman" w:cs="Times New Roman"/>
          <w:b/>
          <w:bCs/>
          <w:sz w:val="24"/>
          <w:szCs w:val="24"/>
        </w:rPr>
        <w:t>A 2. alternatíva a) pontjában</w:t>
      </w:r>
      <w:r w:rsidR="00B86A50">
        <w:rPr>
          <w:rFonts w:ascii="Times New Roman" w:hAnsi="Times New Roman" w:cs="Times New Roman"/>
          <w:b/>
          <w:bCs/>
          <w:sz w:val="24"/>
          <w:szCs w:val="24"/>
        </w:rPr>
        <w:t xml:space="preserve"> szereplő módosítás irány</w:t>
      </w:r>
      <w:r w:rsidR="00947868">
        <w:rPr>
          <w:rFonts w:ascii="Times New Roman" w:hAnsi="Times New Roman" w:cs="Times New Roman"/>
          <w:b/>
          <w:bCs/>
          <w:sz w:val="24"/>
          <w:szCs w:val="24"/>
        </w:rPr>
        <w:t xml:space="preserve"> esetében</w:t>
      </w:r>
      <w:r w:rsidR="00B86A50">
        <w:rPr>
          <w:rFonts w:ascii="Times New Roman" w:hAnsi="Times New Roman" w:cs="Times New Roman"/>
          <w:b/>
          <w:bCs/>
          <w:sz w:val="24"/>
          <w:szCs w:val="24"/>
        </w:rPr>
        <w:t xml:space="preserve"> </w:t>
      </w:r>
      <w:r w:rsidR="00947868">
        <w:rPr>
          <w:rFonts w:ascii="Times New Roman" w:hAnsi="Times New Roman" w:cs="Times New Roman"/>
          <w:b/>
          <w:bCs/>
          <w:sz w:val="24"/>
          <w:szCs w:val="24"/>
        </w:rPr>
        <w:t xml:space="preserve">a </w:t>
      </w:r>
      <w:r w:rsidR="00B86A50">
        <w:rPr>
          <w:rFonts w:ascii="Times New Roman" w:hAnsi="Times New Roman" w:cs="Times New Roman"/>
          <w:b/>
          <w:bCs/>
          <w:sz w:val="24"/>
          <w:szCs w:val="24"/>
        </w:rPr>
        <w:t>hazai/</w:t>
      </w:r>
      <w:r>
        <w:rPr>
          <w:rFonts w:ascii="Times New Roman" w:hAnsi="Times New Roman" w:cs="Times New Roman"/>
          <w:b/>
          <w:bCs/>
          <w:sz w:val="24"/>
          <w:szCs w:val="24"/>
        </w:rPr>
        <w:t xml:space="preserve">nemzeti szinten történő </w:t>
      </w:r>
      <w:r w:rsidR="00947868">
        <w:rPr>
          <w:rFonts w:ascii="Times New Roman" w:hAnsi="Times New Roman" w:cs="Times New Roman"/>
          <w:b/>
          <w:bCs/>
          <w:sz w:val="24"/>
          <w:szCs w:val="24"/>
        </w:rPr>
        <w:t>szabályozás</w:t>
      </w:r>
      <w:r w:rsidR="00FA4B92">
        <w:rPr>
          <w:rFonts w:ascii="Times New Roman" w:hAnsi="Times New Roman" w:cs="Times New Roman"/>
          <w:b/>
          <w:bCs/>
          <w:sz w:val="24"/>
          <w:szCs w:val="24"/>
        </w:rPr>
        <w:t xml:space="preserve"> </w:t>
      </w:r>
      <w:r w:rsidR="00B86A50">
        <w:rPr>
          <w:rFonts w:ascii="Times New Roman" w:hAnsi="Times New Roman" w:cs="Times New Roman"/>
          <w:b/>
          <w:bCs/>
          <w:sz w:val="24"/>
          <w:szCs w:val="24"/>
        </w:rPr>
        <w:t xml:space="preserve">önmagában </w:t>
      </w:r>
      <w:r>
        <w:rPr>
          <w:rFonts w:ascii="Times New Roman" w:hAnsi="Times New Roman" w:cs="Times New Roman"/>
          <w:b/>
          <w:bCs/>
          <w:sz w:val="24"/>
          <w:szCs w:val="24"/>
        </w:rPr>
        <w:t>mennyibe</w:t>
      </w:r>
      <w:r w:rsidR="00B86A50">
        <w:rPr>
          <w:rFonts w:ascii="Times New Roman" w:hAnsi="Times New Roman" w:cs="Times New Roman"/>
          <w:b/>
          <w:bCs/>
          <w:sz w:val="24"/>
          <w:szCs w:val="24"/>
        </w:rPr>
        <w:t>n</w:t>
      </w:r>
      <w:r>
        <w:rPr>
          <w:rFonts w:ascii="Times New Roman" w:hAnsi="Times New Roman" w:cs="Times New Roman"/>
          <w:b/>
          <w:bCs/>
          <w:sz w:val="24"/>
          <w:szCs w:val="24"/>
        </w:rPr>
        <w:t xml:space="preserve"> jelentene megoldást </w:t>
      </w:r>
      <w:r w:rsidR="00B86A50">
        <w:rPr>
          <w:rFonts w:ascii="Times New Roman" w:hAnsi="Times New Roman" w:cs="Times New Roman"/>
          <w:b/>
          <w:bCs/>
          <w:sz w:val="24"/>
          <w:szCs w:val="24"/>
        </w:rPr>
        <w:t xml:space="preserve">a </w:t>
      </w:r>
      <w:r>
        <w:rPr>
          <w:rFonts w:ascii="Times New Roman" w:hAnsi="Times New Roman" w:cs="Times New Roman"/>
          <w:b/>
          <w:bCs/>
          <w:sz w:val="24"/>
          <w:szCs w:val="24"/>
        </w:rPr>
        <w:t>hazai gyógyszeripar</w:t>
      </w:r>
      <w:r w:rsidR="00B86A50">
        <w:rPr>
          <w:rFonts w:ascii="Times New Roman" w:hAnsi="Times New Roman" w:cs="Times New Roman"/>
          <w:b/>
          <w:bCs/>
          <w:sz w:val="24"/>
          <w:szCs w:val="24"/>
        </w:rPr>
        <w:t xml:space="preserve"> által jelzett problémára, úgy, hogy</w:t>
      </w:r>
      <w:r w:rsidR="00947868">
        <w:rPr>
          <w:rFonts w:ascii="Times New Roman" w:hAnsi="Times New Roman" w:cs="Times New Roman"/>
          <w:b/>
          <w:bCs/>
          <w:sz w:val="24"/>
          <w:szCs w:val="24"/>
        </w:rPr>
        <w:t xml:space="preserve"> eközben</w:t>
      </w:r>
      <w:r w:rsidR="00B86A50">
        <w:rPr>
          <w:rFonts w:ascii="Times New Roman" w:hAnsi="Times New Roman" w:cs="Times New Roman"/>
          <w:b/>
          <w:bCs/>
          <w:sz w:val="24"/>
          <w:szCs w:val="24"/>
        </w:rPr>
        <w:t xml:space="preserve"> a </w:t>
      </w:r>
      <w:r>
        <w:rPr>
          <w:rFonts w:ascii="Times New Roman" w:hAnsi="Times New Roman" w:cs="Times New Roman"/>
          <w:b/>
          <w:bCs/>
          <w:sz w:val="24"/>
          <w:szCs w:val="24"/>
        </w:rPr>
        <w:t xml:space="preserve">kérdés nincsen uniós szinten </w:t>
      </w:r>
      <w:r w:rsidR="00B86A50">
        <w:rPr>
          <w:rFonts w:ascii="Times New Roman" w:hAnsi="Times New Roman" w:cs="Times New Roman"/>
          <w:b/>
          <w:bCs/>
          <w:sz w:val="24"/>
          <w:szCs w:val="24"/>
        </w:rPr>
        <w:t>kezelve</w:t>
      </w:r>
      <w:r w:rsidR="00947868">
        <w:rPr>
          <w:rFonts w:ascii="Times New Roman" w:hAnsi="Times New Roman" w:cs="Times New Roman"/>
          <w:b/>
          <w:bCs/>
          <w:sz w:val="24"/>
          <w:szCs w:val="24"/>
        </w:rPr>
        <w:t>?</w:t>
      </w:r>
      <w:r w:rsidR="00B86A50">
        <w:rPr>
          <w:rFonts w:ascii="Times New Roman" w:hAnsi="Times New Roman" w:cs="Times New Roman"/>
          <w:b/>
          <w:bCs/>
          <w:sz w:val="24"/>
          <w:szCs w:val="24"/>
        </w:rPr>
        <w:t xml:space="preserve">  </w:t>
      </w:r>
      <w:r w:rsidR="00947868">
        <w:rPr>
          <w:rFonts w:ascii="Times New Roman" w:hAnsi="Times New Roman" w:cs="Times New Roman"/>
          <w:b/>
          <w:bCs/>
          <w:sz w:val="24"/>
          <w:szCs w:val="24"/>
        </w:rPr>
        <w:t>[</w:t>
      </w:r>
      <w:r w:rsidR="00B86A50" w:rsidRPr="007D6356">
        <w:rPr>
          <w:rFonts w:ascii="Times New Roman" w:hAnsi="Times New Roman" w:cs="Times New Roman"/>
          <w:b/>
          <w:bCs/>
          <w:i/>
          <w:sz w:val="24"/>
          <w:szCs w:val="24"/>
        </w:rPr>
        <w:t>jelenleg egy tagállamon kívül (Lengyelország) nincsen tudomásunk más olyan tagállamról, amely bevezetett volna ilyen szabályozást</w:t>
      </w:r>
      <w:r w:rsidR="00953064" w:rsidRPr="007D6356">
        <w:rPr>
          <w:rFonts w:ascii="Times New Roman" w:hAnsi="Times New Roman" w:cs="Times New Roman"/>
          <w:b/>
          <w:bCs/>
          <w:i/>
          <w:sz w:val="24"/>
          <w:szCs w:val="24"/>
        </w:rPr>
        <w:t>,</w:t>
      </w:r>
      <w:r w:rsidR="00947868" w:rsidRPr="007D6356">
        <w:rPr>
          <w:rFonts w:ascii="Times New Roman" w:hAnsi="Times New Roman" w:cs="Times New Roman"/>
          <w:b/>
          <w:bCs/>
          <w:i/>
          <w:sz w:val="24"/>
          <w:szCs w:val="24"/>
        </w:rPr>
        <w:t xml:space="preserve"> valamint</w:t>
      </w:r>
      <w:r w:rsidR="00953064" w:rsidRPr="007D6356">
        <w:rPr>
          <w:rFonts w:ascii="Times New Roman" w:hAnsi="Times New Roman" w:cs="Times New Roman"/>
          <w:b/>
          <w:bCs/>
          <w:i/>
          <w:sz w:val="24"/>
          <w:szCs w:val="24"/>
        </w:rPr>
        <w:t xml:space="preserve"> figyelembe véve azt</w:t>
      </w:r>
      <w:r w:rsidR="00947868" w:rsidRPr="007D6356">
        <w:rPr>
          <w:rFonts w:ascii="Times New Roman" w:hAnsi="Times New Roman" w:cs="Times New Roman"/>
          <w:b/>
          <w:bCs/>
          <w:i/>
          <w:sz w:val="24"/>
          <w:szCs w:val="24"/>
        </w:rPr>
        <w:t xml:space="preserve"> a körülményt</w:t>
      </w:r>
      <w:r w:rsidR="00953064" w:rsidRPr="007D6356">
        <w:rPr>
          <w:rFonts w:ascii="Times New Roman" w:hAnsi="Times New Roman" w:cs="Times New Roman"/>
          <w:b/>
          <w:bCs/>
          <w:i/>
          <w:sz w:val="24"/>
          <w:szCs w:val="24"/>
        </w:rPr>
        <w:t>, hogy információink szerint a hazai gyógyszeripar export tevékenységének jelentős része az EU-n belül történik</w:t>
      </w:r>
      <w:r w:rsidR="00947868">
        <w:rPr>
          <w:rFonts w:ascii="Times New Roman" w:hAnsi="Times New Roman" w:cs="Times New Roman"/>
          <w:b/>
          <w:bCs/>
          <w:sz w:val="24"/>
          <w:szCs w:val="24"/>
        </w:rPr>
        <w:t>]</w:t>
      </w:r>
    </w:p>
    <w:p w14:paraId="454FEE37" w14:textId="788F5C1A" w:rsidR="00723A98" w:rsidRPr="00610E02" w:rsidRDefault="00772BCF" w:rsidP="00276AE1">
      <w:pPr>
        <w:pStyle w:val="Listaszerbekezds"/>
        <w:numPr>
          <w:ilvl w:val="0"/>
          <w:numId w:val="12"/>
        </w:numPr>
        <w:spacing w:after="0"/>
        <w:ind w:left="567"/>
        <w:jc w:val="both"/>
        <w:rPr>
          <w:rFonts w:ascii="Times New Roman" w:hAnsi="Times New Roman" w:cs="Times New Roman"/>
          <w:b/>
          <w:sz w:val="24"/>
          <w:szCs w:val="24"/>
        </w:rPr>
      </w:pPr>
      <w:r w:rsidRPr="00610E02">
        <w:rPr>
          <w:rFonts w:ascii="Times New Roman" w:hAnsi="Times New Roman" w:cs="Times New Roman"/>
          <w:b/>
          <w:bCs/>
          <w:sz w:val="24"/>
          <w:szCs w:val="24"/>
        </w:rPr>
        <w:t>Ön</w:t>
      </w:r>
      <w:r w:rsidR="006C4FD0" w:rsidRPr="00610E02">
        <w:rPr>
          <w:rFonts w:ascii="Times New Roman" w:hAnsi="Times New Roman" w:cs="Times New Roman"/>
          <w:b/>
          <w:bCs/>
          <w:sz w:val="24"/>
          <w:szCs w:val="24"/>
        </w:rPr>
        <w:t xml:space="preserve"> lát-e olyan nemzetgazdasági területet, amelyre tekintettel káros vagy kockázatos lenne az Szt.-ben foglalt Bolar kivétel javasolt kiterjesztése?</w:t>
      </w:r>
    </w:p>
    <w:p w14:paraId="26727CD0" w14:textId="61B6011E" w:rsidR="00A73B4D" w:rsidRPr="00610E02" w:rsidRDefault="00B86A50" w:rsidP="00276AE1">
      <w:pPr>
        <w:pStyle w:val="Listaszerbekezds"/>
        <w:numPr>
          <w:ilvl w:val="0"/>
          <w:numId w:val="12"/>
        </w:numPr>
        <w:spacing w:after="0"/>
        <w:ind w:left="567"/>
        <w:jc w:val="both"/>
        <w:rPr>
          <w:rFonts w:ascii="Times New Roman" w:hAnsi="Times New Roman" w:cs="Times New Roman"/>
          <w:b/>
          <w:sz w:val="24"/>
          <w:szCs w:val="24"/>
        </w:rPr>
      </w:pPr>
      <w:r>
        <w:rPr>
          <w:rFonts w:ascii="Times New Roman" w:hAnsi="Times New Roman" w:cs="Times New Roman"/>
          <w:b/>
          <w:bCs/>
          <w:sz w:val="24"/>
          <w:szCs w:val="24"/>
        </w:rPr>
        <w:t xml:space="preserve">A 2. alternatíva választása esetén álláspontja szerint melyik ott megfogalmazott módosítási irány lenne leginkább </w:t>
      </w:r>
      <w:r w:rsidR="00A73B4D" w:rsidRPr="00610E02">
        <w:rPr>
          <w:rFonts w:ascii="Times New Roman" w:hAnsi="Times New Roman" w:cs="Times New Roman"/>
          <w:b/>
          <w:bCs/>
          <w:sz w:val="24"/>
          <w:szCs w:val="24"/>
        </w:rPr>
        <w:t>megfelelő a Bolar kivétel módosítás</w:t>
      </w:r>
      <w:r>
        <w:rPr>
          <w:rFonts w:ascii="Times New Roman" w:hAnsi="Times New Roman" w:cs="Times New Roman"/>
          <w:b/>
          <w:bCs/>
          <w:sz w:val="24"/>
          <w:szCs w:val="24"/>
        </w:rPr>
        <w:t>ára</w:t>
      </w:r>
      <w:r w:rsidR="00A73B4D" w:rsidRPr="00610E02">
        <w:rPr>
          <w:rFonts w:ascii="Times New Roman" w:hAnsi="Times New Roman" w:cs="Times New Roman"/>
          <w:b/>
          <w:bCs/>
          <w:sz w:val="24"/>
          <w:szCs w:val="24"/>
        </w:rPr>
        <w:t>?</w:t>
      </w:r>
    </w:p>
    <w:sectPr w:rsidR="00A73B4D" w:rsidRPr="00610E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D397C" w14:textId="77777777" w:rsidR="00EB7D01" w:rsidRDefault="00EB7D01" w:rsidP="001C68E1">
      <w:pPr>
        <w:spacing w:after="0" w:line="240" w:lineRule="auto"/>
      </w:pPr>
      <w:r>
        <w:separator/>
      </w:r>
    </w:p>
  </w:endnote>
  <w:endnote w:type="continuationSeparator" w:id="0">
    <w:p w14:paraId="414D47B5" w14:textId="77777777" w:rsidR="00EB7D01" w:rsidRDefault="00EB7D01" w:rsidP="001C6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félkövér">
    <w:altName w:val="Times New Roman"/>
    <w:panose1 w:val="02020803070505020304"/>
    <w:charset w:val="00"/>
    <w:family w:val="roman"/>
    <w:pitch w:val="variable"/>
    <w:sig w:usb0="E0002AE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rPr>
      <w:id w:val="-1479303830"/>
      <w:docPartObj>
        <w:docPartGallery w:val="Page Numbers (Bottom of Page)"/>
        <w:docPartUnique/>
      </w:docPartObj>
    </w:sdtPr>
    <w:sdtEndPr/>
    <w:sdtContent>
      <w:p w14:paraId="63E1F44B" w14:textId="77777777" w:rsidR="00FA4B92" w:rsidRPr="00241345" w:rsidRDefault="00FA4B92">
        <w:pPr>
          <w:pStyle w:val="llb"/>
          <w:jc w:val="center"/>
          <w:rPr>
            <w:rFonts w:ascii="Times New Roman" w:hAnsi="Times New Roman" w:cs="Times New Roman"/>
            <w:sz w:val="20"/>
          </w:rPr>
        </w:pPr>
        <w:r w:rsidRPr="00241345">
          <w:rPr>
            <w:rFonts w:ascii="Times New Roman" w:hAnsi="Times New Roman" w:cs="Times New Roman"/>
            <w:sz w:val="20"/>
          </w:rPr>
          <w:fldChar w:fldCharType="begin"/>
        </w:r>
        <w:r w:rsidRPr="00241345">
          <w:rPr>
            <w:rFonts w:ascii="Times New Roman" w:hAnsi="Times New Roman" w:cs="Times New Roman"/>
            <w:sz w:val="20"/>
          </w:rPr>
          <w:instrText>PAGE   \* MERGEFORMAT</w:instrText>
        </w:r>
        <w:r w:rsidRPr="00241345">
          <w:rPr>
            <w:rFonts w:ascii="Times New Roman" w:hAnsi="Times New Roman" w:cs="Times New Roman"/>
            <w:sz w:val="20"/>
          </w:rPr>
          <w:fldChar w:fldCharType="separate"/>
        </w:r>
        <w:r w:rsidR="003F29F5">
          <w:rPr>
            <w:rFonts w:ascii="Times New Roman" w:hAnsi="Times New Roman" w:cs="Times New Roman"/>
            <w:noProof/>
            <w:sz w:val="20"/>
          </w:rPr>
          <w:t>11</w:t>
        </w:r>
        <w:r w:rsidRPr="00241345">
          <w:rPr>
            <w:rFonts w:ascii="Times New Roman" w:hAnsi="Times New Roman" w:cs="Times New Roman"/>
            <w:sz w:val="20"/>
          </w:rPr>
          <w:fldChar w:fldCharType="end"/>
        </w:r>
      </w:p>
    </w:sdtContent>
  </w:sdt>
  <w:p w14:paraId="6E65DF93" w14:textId="77777777" w:rsidR="00FA4B92" w:rsidRPr="00241345" w:rsidRDefault="00FA4B92">
    <w:pPr>
      <w:pStyle w:val="llb"/>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5670B" w14:textId="77777777" w:rsidR="00EB7D01" w:rsidRDefault="00EB7D01" w:rsidP="001C68E1">
      <w:pPr>
        <w:spacing w:after="0" w:line="240" w:lineRule="auto"/>
      </w:pPr>
      <w:r>
        <w:separator/>
      </w:r>
    </w:p>
  </w:footnote>
  <w:footnote w:type="continuationSeparator" w:id="0">
    <w:p w14:paraId="55CD41B8" w14:textId="77777777" w:rsidR="00EB7D01" w:rsidRDefault="00EB7D01" w:rsidP="001C68E1">
      <w:pPr>
        <w:spacing w:after="0" w:line="240" w:lineRule="auto"/>
      </w:pPr>
      <w:r>
        <w:continuationSeparator/>
      </w:r>
    </w:p>
  </w:footnote>
  <w:footnote w:id="1">
    <w:p w14:paraId="645C550E" w14:textId="4B4BF065" w:rsidR="00FA4B92" w:rsidRPr="00410848" w:rsidRDefault="00FA4B92" w:rsidP="00410848">
      <w:pPr>
        <w:pStyle w:val="Lbjegyzetszveg"/>
        <w:jc w:val="both"/>
        <w:rPr>
          <w:rFonts w:ascii="Times New Roman" w:hAnsi="Times New Roman" w:cs="Times New Roman"/>
        </w:rPr>
      </w:pPr>
      <w:r w:rsidRPr="00410848">
        <w:rPr>
          <w:rStyle w:val="Lbjegyzet-hivatkozs"/>
          <w:rFonts w:ascii="Times New Roman" w:hAnsi="Times New Roman" w:cs="Times New Roman"/>
        </w:rPr>
        <w:footnoteRef/>
      </w:r>
      <w:r w:rsidRPr="00410848">
        <w:rPr>
          <w:rFonts w:ascii="Times New Roman" w:hAnsi="Times New Roman" w:cs="Times New Roman"/>
        </w:rPr>
        <w:t xml:space="preserve">  Az Szt. 19.  § (2) bekezdés szerint: </w:t>
      </w:r>
    </w:p>
    <w:p w14:paraId="0EFC15F8" w14:textId="4537E9CE" w:rsidR="00FA4B92" w:rsidRPr="00410848" w:rsidRDefault="00FA4B92" w:rsidP="00887229">
      <w:pPr>
        <w:pStyle w:val="Lbjegyzetszveg"/>
        <w:jc w:val="both"/>
        <w:rPr>
          <w:rFonts w:ascii="Times New Roman" w:hAnsi="Times New Roman" w:cs="Times New Roman"/>
          <w:i/>
        </w:rPr>
      </w:pPr>
      <w:proofErr w:type="gramStart"/>
      <w:r w:rsidRPr="00410848">
        <w:rPr>
          <w:rFonts w:ascii="Times New Roman" w:hAnsi="Times New Roman" w:cs="Times New Roman"/>
          <w:i/>
        </w:rPr>
        <w:t>„ A</w:t>
      </w:r>
      <w:proofErr w:type="gramEnd"/>
      <w:r w:rsidRPr="00410848">
        <w:rPr>
          <w:rFonts w:ascii="Times New Roman" w:hAnsi="Times New Roman" w:cs="Times New Roman"/>
          <w:i/>
        </w:rPr>
        <w:t xml:space="preserve"> kizárólagos hasznosítási jog alapján a szabadalmas bárkivel szemben felléphet, aki engedélye nélkül</w:t>
      </w:r>
    </w:p>
    <w:p w14:paraId="77E390ED" w14:textId="60911493" w:rsidR="00FA4B92" w:rsidRPr="00410848" w:rsidRDefault="00FA4B92" w:rsidP="009D5E75">
      <w:pPr>
        <w:pStyle w:val="Lbjegyzetszveg"/>
        <w:jc w:val="both"/>
        <w:rPr>
          <w:rFonts w:ascii="Times New Roman" w:hAnsi="Times New Roman" w:cs="Times New Roman"/>
          <w:i/>
        </w:rPr>
      </w:pPr>
      <w:r w:rsidRPr="00410848">
        <w:rPr>
          <w:rFonts w:ascii="Times New Roman" w:hAnsi="Times New Roman" w:cs="Times New Roman"/>
          <w:i/>
          <w:iCs/>
        </w:rPr>
        <w:t xml:space="preserve">a) </w:t>
      </w:r>
      <w:r w:rsidRPr="00410848">
        <w:rPr>
          <w:rFonts w:ascii="Times New Roman" w:hAnsi="Times New Roman" w:cs="Times New Roman"/>
          <w:i/>
        </w:rPr>
        <w:t>előállítja, használja, forgalomba hozza, illetve forgalomba hozatalra ajánlja a találmány tárgyát képező terméket, vagy e terméket ilyen célból raktáron tartja vagy az országba behozza;</w:t>
      </w:r>
    </w:p>
    <w:p w14:paraId="703BB906" w14:textId="77777777" w:rsidR="00FA4B92" w:rsidRPr="00410848" w:rsidRDefault="00FA4B92" w:rsidP="00CD5481">
      <w:pPr>
        <w:pStyle w:val="Lbjegyzetszveg"/>
        <w:jc w:val="both"/>
        <w:rPr>
          <w:rFonts w:ascii="Times New Roman" w:hAnsi="Times New Roman" w:cs="Times New Roman"/>
          <w:i/>
        </w:rPr>
      </w:pPr>
      <w:r w:rsidRPr="00410848">
        <w:rPr>
          <w:rFonts w:ascii="Times New Roman" w:hAnsi="Times New Roman" w:cs="Times New Roman"/>
          <w:i/>
          <w:iCs/>
        </w:rPr>
        <w:t xml:space="preserve">b) </w:t>
      </w:r>
      <w:r w:rsidRPr="00410848">
        <w:rPr>
          <w:rFonts w:ascii="Times New Roman" w:hAnsi="Times New Roman" w:cs="Times New Roman"/>
          <w:i/>
        </w:rPr>
        <w:t>használja a találmány tárgyát képező eljárást, vagy - ha tud arról, illetve a körülmények alapján nyilvánvaló, hogy az eljárás nem használható a szabadalmas engedélye nélkül - másnak az eljárást használatra ajánlja;</w:t>
      </w:r>
    </w:p>
    <w:p w14:paraId="05F831A5" w14:textId="38CF4264" w:rsidR="00FA4B92" w:rsidRDefault="00FA4B92" w:rsidP="00410848">
      <w:pPr>
        <w:pStyle w:val="Lbjegyzetszveg"/>
        <w:jc w:val="both"/>
      </w:pPr>
      <w:r w:rsidRPr="00410848">
        <w:rPr>
          <w:rFonts w:ascii="Times New Roman" w:hAnsi="Times New Roman" w:cs="Times New Roman"/>
          <w:i/>
          <w:iCs/>
        </w:rPr>
        <w:t xml:space="preserve">c) </w:t>
      </w:r>
      <w:r w:rsidRPr="00410848">
        <w:rPr>
          <w:rFonts w:ascii="Times New Roman" w:hAnsi="Times New Roman" w:cs="Times New Roman"/>
          <w:i/>
        </w:rPr>
        <w:t>előállítja, használja, forgalomba hozza, illetve forgalomba hozatalra ajánlja, vagy ilyen célból raktáron tartja vagy az országba behozza a találmány tárgyát képező eljárással közvetlenül előállított terméket.”</w:t>
      </w:r>
    </w:p>
  </w:footnote>
  <w:footnote w:id="2">
    <w:p w14:paraId="2BFCB070" w14:textId="77777777" w:rsidR="00FA4B92" w:rsidRPr="00753F46" w:rsidRDefault="00FA4B92" w:rsidP="00C60D41">
      <w:pPr>
        <w:pStyle w:val="Lbjegyzetszveg"/>
        <w:jc w:val="both"/>
        <w:rPr>
          <w:rFonts w:ascii="Times New Roman" w:hAnsi="Times New Roman" w:cs="Times New Roman"/>
        </w:rPr>
      </w:pPr>
      <w:r w:rsidRPr="00753F46">
        <w:rPr>
          <w:rStyle w:val="Lbjegyzet-hivatkozs"/>
          <w:rFonts w:ascii="Times New Roman" w:hAnsi="Times New Roman" w:cs="Times New Roman"/>
        </w:rPr>
        <w:footnoteRef/>
      </w:r>
      <w:r w:rsidRPr="00753F46">
        <w:rPr>
          <w:rFonts w:ascii="Times New Roman" w:hAnsi="Times New Roman" w:cs="Times New Roman"/>
        </w:rPr>
        <w:t xml:space="preserve"> Laetitia </w:t>
      </w:r>
      <w:r w:rsidRPr="00753F46">
        <w:rPr>
          <w:rFonts w:ascii="Times New Roman" w:hAnsi="Times New Roman" w:cs="Times New Roman"/>
          <w:smallCaps/>
        </w:rPr>
        <w:t>Benard</w:t>
      </w:r>
      <w:r w:rsidRPr="00753F46">
        <w:rPr>
          <w:rFonts w:ascii="Times New Roman" w:hAnsi="Times New Roman" w:cs="Times New Roman"/>
        </w:rPr>
        <w:t xml:space="preserve"> – Jacqueline </w:t>
      </w:r>
      <w:r w:rsidRPr="00753F46">
        <w:rPr>
          <w:rFonts w:ascii="Times New Roman" w:hAnsi="Times New Roman" w:cs="Times New Roman"/>
          <w:smallCaps/>
        </w:rPr>
        <w:t>Bore</w:t>
      </w:r>
      <w:r w:rsidRPr="00753F46">
        <w:rPr>
          <w:rFonts w:ascii="Times New Roman" w:hAnsi="Times New Roman" w:cs="Times New Roman"/>
        </w:rPr>
        <w:t xml:space="preserve"> – Eveline </w:t>
      </w:r>
      <w:r w:rsidRPr="00753F46">
        <w:rPr>
          <w:rFonts w:ascii="Times New Roman" w:hAnsi="Times New Roman" w:cs="Times New Roman"/>
          <w:smallCaps/>
        </w:rPr>
        <w:t>Van Keymeulen</w:t>
      </w:r>
      <w:r w:rsidRPr="00753F46">
        <w:rPr>
          <w:rFonts w:ascii="Times New Roman" w:hAnsi="Times New Roman" w:cs="Times New Roman"/>
        </w:rPr>
        <w:t xml:space="preserve">: Rewarding Innovation: Pharmaceutical Incentives as a Crucial Instrument to Foster Public Health. </w:t>
      </w:r>
      <w:r w:rsidRPr="00753F46">
        <w:rPr>
          <w:rFonts w:ascii="Times New Roman" w:hAnsi="Times New Roman" w:cs="Times New Roman"/>
          <w:i/>
        </w:rPr>
        <w:t>European Pharmaceutical Law Review</w:t>
      </w:r>
      <w:r w:rsidRPr="00753F46">
        <w:rPr>
          <w:rFonts w:ascii="Times New Roman" w:hAnsi="Times New Roman" w:cs="Times New Roman"/>
        </w:rPr>
        <w:t>, No. 2, 2018. p. 77.</w:t>
      </w:r>
    </w:p>
  </w:footnote>
  <w:footnote w:id="3">
    <w:p w14:paraId="37A80440" w14:textId="77777777" w:rsidR="00FA4B92" w:rsidRPr="00753F46" w:rsidRDefault="00FA4B92" w:rsidP="00753F46">
      <w:pPr>
        <w:pStyle w:val="Lbjegyzetszveg"/>
        <w:jc w:val="both"/>
        <w:rPr>
          <w:rFonts w:ascii="Times New Roman" w:hAnsi="Times New Roman" w:cs="Times New Roman"/>
        </w:rPr>
      </w:pPr>
      <w:r w:rsidRPr="00753F46">
        <w:rPr>
          <w:rStyle w:val="Lbjegyzet-hivatkozs"/>
          <w:rFonts w:ascii="Times New Roman" w:hAnsi="Times New Roman" w:cs="Times New Roman"/>
        </w:rPr>
        <w:footnoteRef/>
      </w:r>
      <w:r w:rsidRPr="00753F46">
        <w:rPr>
          <w:rFonts w:ascii="Times New Roman" w:hAnsi="Times New Roman" w:cs="Times New Roman"/>
        </w:rPr>
        <w:t xml:space="preserve"> Roche Products v. Bolar Pharmaceutical, 733 F.2d. 858 (Ced. Cir. 1984). A döntés összefoglalója elérhető: </w:t>
      </w:r>
      <w:hyperlink r:id="rId1" w:history="1">
        <w:r w:rsidRPr="00753F46">
          <w:rPr>
            <w:rStyle w:val="Hiperhivatkozs"/>
            <w:rFonts w:ascii="Times New Roman" w:hAnsi="Times New Roman" w:cs="Times New Roman"/>
          </w:rPr>
          <w:t>https://law.justia.com/cases/federal/appellate-courts/F2/733/858/459501/</w:t>
        </w:r>
      </w:hyperlink>
      <w:r w:rsidRPr="00753F46">
        <w:rPr>
          <w:rFonts w:ascii="Times New Roman" w:hAnsi="Times New Roman" w:cs="Times New Roman"/>
        </w:rPr>
        <w:t>.</w:t>
      </w:r>
    </w:p>
  </w:footnote>
  <w:footnote w:id="4">
    <w:p w14:paraId="43B7E816" w14:textId="77777777" w:rsidR="00FA4B92" w:rsidRPr="00753F46" w:rsidRDefault="00FA4B92" w:rsidP="00753F46">
      <w:pPr>
        <w:pStyle w:val="Lbjegyzetszveg"/>
        <w:jc w:val="both"/>
        <w:rPr>
          <w:rFonts w:ascii="Times New Roman" w:hAnsi="Times New Roman" w:cs="Times New Roman"/>
        </w:rPr>
      </w:pPr>
      <w:r w:rsidRPr="00753F46">
        <w:rPr>
          <w:rStyle w:val="Lbjegyzet-hivatkozs"/>
          <w:rFonts w:ascii="Times New Roman" w:hAnsi="Times New Roman" w:cs="Times New Roman"/>
        </w:rPr>
        <w:footnoteRef/>
      </w:r>
      <w:r w:rsidRPr="00753F46">
        <w:rPr>
          <w:rFonts w:ascii="Times New Roman" w:hAnsi="Times New Roman" w:cs="Times New Roman"/>
        </w:rPr>
        <w:t xml:space="preserve"> Rochelle Cooper </w:t>
      </w:r>
      <w:r w:rsidRPr="00753F46">
        <w:rPr>
          <w:rFonts w:ascii="Times New Roman" w:hAnsi="Times New Roman" w:cs="Times New Roman"/>
          <w:smallCaps/>
        </w:rPr>
        <w:t>Dreyfuss</w:t>
      </w:r>
      <w:r w:rsidRPr="00753F46">
        <w:rPr>
          <w:rFonts w:ascii="Times New Roman" w:hAnsi="Times New Roman" w:cs="Times New Roman"/>
        </w:rPr>
        <w:t xml:space="preserve">: Reconsidering Experimental Use. </w:t>
      </w:r>
      <w:r w:rsidRPr="00753F46">
        <w:rPr>
          <w:rFonts w:ascii="Times New Roman" w:hAnsi="Times New Roman" w:cs="Times New Roman"/>
          <w:i/>
        </w:rPr>
        <w:t>Akron Law Review</w:t>
      </w:r>
      <w:r w:rsidRPr="00753F46">
        <w:rPr>
          <w:rFonts w:ascii="Times New Roman" w:hAnsi="Times New Roman" w:cs="Times New Roman"/>
        </w:rPr>
        <w:t>, Iss. 50, No. 4, 2016. p. 703.</w:t>
      </w:r>
    </w:p>
  </w:footnote>
  <w:footnote w:id="5">
    <w:p w14:paraId="17EEB681" w14:textId="2BA7A7F8" w:rsidR="00FA4B92" w:rsidRPr="009F28AA" w:rsidRDefault="00FA4B92" w:rsidP="009F28AA">
      <w:pPr>
        <w:pStyle w:val="Lbjegyzetszveg"/>
        <w:jc w:val="both"/>
        <w:rPr>
          <w:rFonts w:ascii="Times New Roman" w:hAnsi="Times New Roman" w:cs="Times New Roman"/>
        </w:rPr>
      </w:pPr>
      <w:r w:rsidRPr="009F28AA">
        <w:rPr>
          <w:rStyle w:val="Lbjegyzet-hivatkozs"/>
          <w:rFonts w:ascii="Times New Roman" w:hAnsi="Times New Roman" w:cs="Times New Roman"/>
        </w:rPr>
        <w:footnoteRef/>
      </w:r>
      <w:r w:rsidRPr="009F28AA">
        <w:rPr>
          <w:rFonts w:ascii="Times New Roman" w:hAnsi="Times New Roman" w:cs="Times New Roman"/>
        </w:rPr>
        <w:t xml:space="preserve"> Drug Price Competition and Patent Term Restoration Act of 1984. Elérhető: </w:t>
      </w:r>
      <w:hyperlink r:id="rId2" w:history="1">
        <w:r w:rsidRPr="009F28AA">
          <w:rPr>
            <w:rStyle w:val="Hiperhivatkozs"/>
            <w:rFonts w:ascii="Times New Roman" w:hAnsi="Times New Roman" w:cs="Times New Roman"/>
          </w:rPr>
          <w:t>https://www.govinfo.gov/content/pkg/STATUTE-98/pdf/STATUTE-98-Pg1585.pdf</w:t>
        </w:r>
      </w:hyperlink>
    </w:p>
  </w:footnote>
  <w:footnote w:id="6">
    <w:p w14:paraId="1AFB8B0A" w14:textId="1303C352" w:rsidR="00FA4B92" w:rsidRPr="009F28AA" w:rsidRDefault="00FA4B92" w:rsidP="009F28AA">
      <w:pPr>
        <w:pStyle w:val="Lbjegyzetszveg"/>
        <w:jc w:val="both"/>
        <w:rPr>
          <w:rFonts w:ascii="Times New Roman" w:hAnsi="Times New Roman" w:cs="Times New Roman"/>
        </w:rPr>
      </w:pPr>
      <w:r w:rsidRPr="009F28AA">
        <w:rPr>
          <w:rStyle w:val="Lbjegyzet-hivatkozs"/>
          <w:rFonts w:ascii="Times New Roman" w:hAnsi="Times New Roman" w:cs="Times New Roman"/>
        </w:rPr>
        <w:footnoteRef/>
      </w:r>
      <w:r w:rsidRPr="009F28AA">
        <w:rPr>
          <w:rFonts w:ascii="Times New Roman" w:hAnsi="Times New Roman" w:cs="Times New Roman"/>
        </w:rPr>
        <w:t xml:space="preserve"> Ulick G. Bourke: TRIPS Enforcement: Is Direct Effect in National Courts an Answer. </w:t>
      </w:r>
      <w:r w:rsidRPr="009F28AA">
        <w:rPr>
          <w:rFonts w:ascii="Times New Roman" w:hAnsi="Times New Roman" w:cs="Times New Roman"/>
          <w:i/>
        </w:rPr>
        <w:t>International Intellectual Property Law &amp; Policy</w:t>
      </w:r>
      <w:r w:rsidRPr="009F28AA">
        <w:rPr>
          <w:rFonts w:ascii="Times New Roman" w:hAnsi="Times New Roman" w:cs="Times New Roman"/>
        </w:rPr>
        <w:t>, Vol. 5, 2003. p. 9-10.</w:t>
      </w:r>
    </w:p>
  </w:footnote>
  <w:footnote w:id="7">
    <w:p w14:paraId="211CD910" w14:textId="77777777" w:rsidR="00FA4B92" w:rsidRPr="0028690A" w:rsidRDefault="00FA4B92" w:rsidP="009F28AA">
      <w:pPr>
        <w:pStyle w:val="Lbjegyzetszveg"/>
        <w:jc w:val="both"/>
        <w:rPr>
          <w:rFonts w:asciiTheme="majorBidi" w:hAnsiTheme="majorBidi" w:cstheme="majorBidi"/>
        </w:rPr>
      </w:pPr>
      <w:r w:rsidRPr="0028690A">
        <w:rPr>
          <w:rStyle w:val="Lbjegyzet-hivatkozs"/>
          <w:rFonts w:asciiTheme="majorBidi" w:hAnsiTheme="majorBidi" w:cstheme="majorBidi"/>
        </w:rPr>
        <w:footnoteRef/>
      </w:r>
      <w:r w:rsidRPr="0028690A">
        <w:rPr>
          <w:rFonts w:asciiTheme="majorBidi" w:hAnsiTheme="majorBidi" w:cstheme="majorBidi"/>
        </w:rPr>
        <w:t xml:space="preserve"> A Bolar</w:t>
      </w:r>
      <w:r>
        <w:rPr>
          <w:rFonts w:asciiTheme="majorBidi" w:hAnsiTheme="majorBidi" w:cstheme="majorBidi"/>
        </w:rPr>
        <w:t xml:space="preserve"> </w:t>
      </w:r>
      <w:r w:rsidRPr="0028690A">
        <w:rPr>
          <w:rFonts w:asciiTheme="majorBidi" w:hAnsiTheme="majorBidi" w:cstheme="majorBidi"/>
        </w:rPr>
        <w:t>kivétel [35 U.S.C. § 271(e)(1)]: „</w:t>
      </w:r>
      <w:r w:rsidRPr="009F28AA">
        <w:rPr>
          <w:rFonts w:asciiTheme="majorBidi" w:hAnsiTheme="majorBidi" w:cstheme="majorBidi"/>
          <w:i/>
        </w:rPr>
        <w:t>Nem minősül bitorlási cselekménynek a szabadalmazott találmánynak az Egyesült Államok területén történő előállítása, használata vagy eladásra való felkínálása, vagy az oda történő behozatala, ha arra csakis a gyógyszerek gyártását, alkalmazását vagy forgalmazását szabályozó szövetségi törvényben megkövetelt információ kifejlesztéséhez vagy benyújtásához ésszerűen kapcsolódó felhasználási célokból kerül sor.</w:t>
      </w:r>
      <w:r w:rsidRPr="0028690A">
        <w:rPr>
          <w:rFonts w:asciiTheme="majorBidi" w:hAnsiTheme="majorBidi" w:cstheme="majorBidi"/>
        </w:rPr>
        <w:t>”</w:t>
      </w:r>
    </w:p>
  </w:footnote>
  <w:footnote w:id="8">
    <w:p w14:paraId="1917AFFC" w14:textId="51B829D3" w:rsidR="00FA4B92" w:rsidRPr="009F28AA" w:rsidRDefault="00FA4B92" w:rsidP="009F28AA">
      <w:pPr>
        <w:pStyle w:val="Lbjegyzetszveg"/>
        <w:jc w:val="both"/>
        <w:rPr>
          <w:rFonts w:ascii="Times New Roman" w:hAnsi="Times New Roman" w:cs="Times New Roman"/>
        </w:rPr>
      </w:pPr>
      <w:r w:rsidRPr="009F28AA">
        <w:rPr>
          <w:rStyle w:val="Lbjegyzet-hivatkozs"/>
          <w:rFonts w:ascii="Times New Roman" w:hAnsi="Times New Roman" w:cs="Times New Roman"/>
        </w:rPr>
        <w:footnoteRef/>
      </w:r>
      <w:r w:rsidRPr="009F28AA">
        <w:rPr>
          <w:rFonts w:ascii="Times New Roman" w:hAnsi="Times New Roman" w:cs="Times New Roman"/>
        </w:rPr>
        <w:t xml:space="preserve"> Ld. az Szt. 19. § (6) bek. b) pontját.</w:t>
      </w:r>
    </w:p>
  </w:footnote>
  <w:footnote w:id="9">
    <w:p w14:paraId="3DA03529" w14:textId="77777777" w:rsidR="00FA4B92" w:rsidRPr="00753F46" w:rsidRDefault="00FA4B92" w:rsidP="00753F46">
      <w:pPr>
        <w:pStyle w:val="Lbjegyzetszveg"/>
        <w:jc w:val="both"/>
        <w:rPr>
          <w:rFonts w:ascii="Times New Roman" w:hAnsi="Times New Roman" w:cs="Times New Roman"/>
        </w:rPr>
      </w:pPr>
      <w:r w:rsidRPr="00753F46">
        <w:rPr>
          <w:rStyle w:val="Lbjegyzet-hivatkozs"/>
          <w:rFonts w:ascii="Times New Roman" w:hAnsi="Times New Roman" w:cs="Times New Roman"/>
        </w:rPr>
        <w:footnoteRef/>
      </w:r>
      <w:r w:rsidRPr="00753F46">
        <w:rPr>
          <w:rFonts w:ascii="Times New Roman" w:hAnsi="Times New Roman" w:cs="Times New Roman"/>
        </w:rPr>
        <w:t xml:space="preserve"> </w:t>
      </w:r>
      <w:bookmarkStart w:id="0" w:name="_Hlk34481398"/>
      <w:r w:rsidRPr="00753F46">
        <w:rPr>
          <w:rFonts w:ascii="Times New Roman" w:hAnsi="Times New Roman" w:cs="Times New Roman"/>
        </w:rPr>
        <w:t>A szellemi tulajdonjogok kereskedelmi vonatkozásairól szóló megállapodás (The Agreement on Trade-Related Aspects of Intellectual Property Rights, a továbbiakban: TRIPs megállapodás), Magyarországon kihirdette az Általános Vám- és Kereskedelmi Egyezmény keretében kialakított, a Kereskedelmi Világszervezetet létrehozó Marrakesh-i Egyezmény és mellékleteinek kihirdetéséről szóló 1998. évi IX. törvény.</w:t>
      </w:r>
      <w:bookmarkEnd w:id="0"/>
    </w:p>
  </w:footnote>
  <w:footnote w:id="10">
    <w:p w14:paraId="462449B3" w14:textId="77777777" w:rsidR="00FA4B92" w:rsidRPr="00753F46" w:rsidRDefault="00FA4B92" w:rsidP="00753F46">
      <w:pPr>
        <w:pStyle w:val="Lbjegyzetszveg"/>
        <w:jc w:val="both"/>
        <w:rPr>
          <w:rFonts w:ascii="Times New Roman" w:hAnsi="Times New Roman" w:cs="Times New Roman"/>
        </w:rPr>
      </w:pPr>
      <w:r w:rsidRPr="00753F46">
        <w:rPr>
          <w:rStyle w:val="Lbjegyzet-hivatkozs"/>
          <w:rFonts w:ascii="Times New Roman" w:hAnsi="Times New Roman" w:cs="Times New Roman"/>
        </w:rPr>
        <w:footnoteRef/>
      </w:r>
      <w:r w:rsidRPr="00753F46">
        <w:rPr>
          <w:rFonts w:ascii="Times New Roman" w:hAnsi="Times New Roman" w:cs="Times New Roman"/>
        </w:rPr>
        <w:t xml:space="preserve"> A hatályos szöveg elérhető: </w:t>
      </w:r>
      <w:hyperlink r:id="rId3" w:history="1">
        <w:r w:rsidRPr="00753F46">
          <w:rPr>
            <w:rStyle w:val="Hiperhivatkozs"/>
            <w:rFonts w:ascii="Times New Roman" w:hAnsi="Times New Roman" w:cs="Times New Roman"/>
          </w:rPr>
          <w:t>https://eur-lex.europa.eu/legal-content/HU/TXT/?qid=1601468060315&amp;uri=CELEX:02001L0083-20190726</w:t>
        </w:r>
      </w:hyperlink>
      <w:r w:rsidRPr="00753F46">
        <w:rPr>
          <w:rFonts w:ascii="Times New Roman" w:hAnsi="Times New Roman" w:cs="Times New Roman"/>
        </w:rPr>
        <w:t>.</w:t>
      </w:r>
    </w:p>
  </w:footnote>
  <w:footnote w:id="11">
    <w:p w14:paraId="2686A8D5" w14:textId="5438889D" w:rsidR="00FA4B92" w:rsidRPr="009F28AA" w:rsidRDefault="00FA4B92" w:rsidP="009F28AA">
      <w:pPr>
        <w:pStyle w:val="Lbjegyzetszveg"/>
        <w:jc w:val="both"/>
        <w:rPr>
          <w:rFonts w:ascii="Times New Roman" w:hAnsi="Times New Roman" w:cs="Times New Roman"/>
        </w:rPr>
      </w:pPr>
      <w:r w:rsidRPr="009F28AA">
        <w:rPr>
          <w:rStyle w:val="Lbjegyzet-hivatkozs"/>
          <w:rFonts w:ascii="Times New Roman" w:hAnsi="Times New Roman" w:cs="Times New Roman"/>
        </w:rPr>
        <w:footnoteRef/>
      </w:r>
      <w:r w:rsidRPr="009F28AA">
        <w:rPr>
          <w:rFonts w:ascii="Times New Roman" w:hAnsi="Times New Roman" w:cs="Times New Roman"/>
        </w:rPr>
        <w:t xml:space="preserve"> A hivatkozott bekezdések a generikus termékek rövidített eljárására, a hibrid rövidített eljárásra és a bioszimiláris/biohasonló termékek engedélyezési eljárására utalnak.</w:t>
      </w:r>
    </w:p>
  </w:footnote>
  <w:footnote w:id="12">
    <w:p w14:paraId="18F4D4E1" w14:textId="77777777" w:rsidR="002B1C5A" w:rsidRPr="002B1C5A" w:rsidRDefault="002B1C5A" w:rsidP="002B1C5A">
      <w:pPr>
        <w:pStyle w:val="Lbjegyzetszveg"/>
        <w:rPr>
          <w:rFonts w:ascii="Times New Roman" w:hAnsi="Times New Roman" w:cs="Times New Roman"/>
        </w:rPr>
      </w:pPr>
      <w:r w:rsidRPr="002B1C5A">
        <w:rPr>
          <w:rStyle w:val="Lbjegyzet-hivatkozs"/>
          <w:rFonts w:ascii="Times New Roman" w:hAnsi="Times New Roman" w:cs="Times New Roman"/>
        </w:rPr>
        <w:footnoteRef/>
      </w:r>
      <w:r w:rsidRPr="002B1C5A">
        <w:rPr>
          <w:rFonts w:ascii="Times New Roman" w:hAnsi="Times New Roman" w:cs="Times New Roman"/>
        </w:rPr>
        <w:t xml:space="preserve"> Marina Barnden: EU Bolar Exemption is Not so Simple. </w:t>
      </w:r>
      <w:r w:rsidRPr="002B1C5A">
        <w:rPr>
          <w:rFonts w:ascii="Times New Roman" w:hAnsi="Times New Roman" w:cs="Times New Roman"/>
          <w:i/>
        </w:rPr>
        <w:t>Managing Intellectual Property</w:t>
      </w:r>
      <w:r w:rsidRPr="002B1C5A">
        <w:rPr>
          <w:rFonts w:ascii="Times New Roman" w:hAnsi="Times New Roman" w:cs="Times New Roman"/>
        </w:rPr>
        <w:t>, 2008. szeptember. p. 56.</w:t>
      </w:r>
    </w:p>
    <w:p w14:paraId="76311A1D" w14:textId="03977390" w:rsidR="002B1C5A" w:rsidRDefault="002B1C5A">
      <w:pPr>
        <w:pStyle w:val="Lbjegyzetszveg"/>
      </w:pPr>
    </w:p>
  </w:footnote>
  <w:footnote w:id="13">
    <w:p w14:paraId="1695AE87" w14:textId="550CB21D" w:rsidR="00FA4B92" w:rsidRPr="009F28AA" w:rsidRDefault="00FA4B92" w:rsidP="009F28AA">
      <w:pPr>
        <w:pStyle w:val="Lbjegyzetszveg"/>
        <w:jc w:val="both"/>
        <w:rPr>
          <w:rFonts w:ascii="Times New Roman" w:hAnsi="Times New Roman" w:cs="Times New Roman"/>
        </w:rPr>
      </w:pPr>
      <w:r w:rsidRPr="009F28AA">
        <w:rPr>
          <w:rStyle w:val="Lbjegyzet-hivatkozs"/>
          <w:rFonts w:ascii="Times New Roman" w:hAnsi="Times New Roman" w:cs="Times New Roman"/>
        </w:rPr>
        <w:footnoteRef/>
      </w:r>
      <w:r w:rsidRPr="009F28AA">
        <w:rPr>
          <w:rFonts w:ascii="Times New Roman" w:hAnsi="Times New Roman" w:cs="Times New Roman"/>
        </w:rPr>
        <w:t xml:space="preserve"> </w:t>
      </w:r>
      <w:r>
        <w:rPr>
          <w:rFonts w:ascii="Times New Roman" w:hAnsi="Times New Roman" w:cs="Times New Roman"/>
        </w:rPr>
        <w:t xml:space="preserve">Anthony </w:t>
      </w:r>
      <w:r w:rsidRPr="009F28AA">
        <w:rPr>
          <w:rFonts w:ascii="Times New Roman" w:hAnsi="Times New Roman" w:cs="Times New Roman"/>
          <w:smallCaps/>
        </w:rPr>
        <w:t>Tridico</w:t>
      </w:r>
      <w:r>
        <w:rPr>
          <w:rFonts w:ascii="Times New Roman" w:hAnsi="Times New Roman" w:cs="Times New Roman"/>
        </w:rPr>
        <w:t xml:space="preserve"> – Jeffrey </w:t>
      </w:r>
      <w:r w:rsidRPr="009F28AA">
        <w:rPr>
          <w:rFonts w:ascii="Times New Roman" w:hAnsi="Times New Roman" w:cs="Times New Roman"/>
          <w:smallCaps/>
        </w:rPr>
        <w:t>Jacobstein</w:t>
      </w:r>
      <w:r>
        <w:rPr>
          <w:rFonts w:ascii="Times New Roman" w:hAnsi="Times New Roman" w:cs="Times New Roman"/>
        </w:rPr>
        <w:t xml:space="preserve"> – Leythem </w:t>
      </w:r>
      <w:r w:rsidRPr="009F28AA">
        <w:rPr>
          <w:rFonts w:ascii="Times New Roman" w:hAnsi="Times New Roman" w:cs="Times New Roman"/>
          <w:smallCaps/>
        </w:rPr>
        <w:t>Wall</w:t>
      </w:r>
      <w:r>
        <w:rPr>
          <w:rFonts w:ascii="Times New Roman" w:hAnsi="Times New Roman" w:cs="Times New Roman"/>
        </w:rPr>
        <w:t xml:space="preserve">: </w:t>
      </w:r>
      <w:r w:rsidRPr="009F28AA">
        <w:rPr>
          <w:rFonts w:ascii="Times New Roman" w:hAnsi="Times New Roman" w:cs="Times New Roman"/>
        </w:rPr>
        <w:t>Facilitating generic drug manufacturing: Bolar exemptions worldwide</w:t>
      </w:r>
      <w:r>
        <w:rPr>
          <w:rFonts w:ascii="Times New Roman" w:hAnsi="Times New Roman" w:cs="Times New Roman"/>
        </w:rPr>
        <w:t>.</w:t>
      </w:r>
      <w:r w:rsidRPr="009F28AA">
        <w:rPr>
          <w:rFonts w:ascii="Times New Roman" w:hAnsi="Times New Roman" w:cs="Times New Roman"/>
        </w:rPr>
        <w:t xml:space="preserve"> </w:t>
      </w:r>
      <w:r w:rsidRPr="009F28AA">
        <w:rPr>
          <w:rFonts w:ascii="Times New Roman" w:hAnsi="Times New Roman" w:cs="Times New Roman"/>
          <w:i/>
        </w:rPr>
        <w:t>WIPO magazine</w:t>
      </w:r>
      <w:r w:rsidRPr="009F28AA">
        <w:rPr>
          <w:rFonts w:ascii="Times New Roman" w:hAnsi="Times New Roman" w:cs="Times New Roman"/>
        </w:rPr>
        <w:t>, 2014</w:t>
      </w:r>
      <w:r>
        <w:rPr>
          <w:rFonts w:ascii="Times New Roman" w:hAnsi="Times New Roman" w:cs="Times New Roman"/>
        </w:rPr>
        <w:t xml:space="preserve">/3. Elérhető: </w:t>
      </w:r>
      <w:hyperlink r:id="rId4" w:history="1">
        <w:r w:rsidRPr="00D726A0">
          <w:rPr>
            <w:rStyle w:val="Hiperhivatkozs"/>
            <w:rFonts w:ascii="Times New Roman" w:hAnsi="Times New Roman" w:cs="Times New Roman"/>
          </w:rPr>
          <w:t>https://www.wipo.int/wipo_magazine/en/2014/03/article_0004.html</w:t>
        </w:r>
      </w:hyperlink>
      <w:r>
        <w:rPr>
          <w:rFonts w:ascii="Times New Roman" w:hAnsi="Times New Roman" w:cs="Times New Roman"/>
        </w:rPr>
        <w:t xml:space="preserve">. </w:t>
      </w:r>
      <w:r w:rsidRPr="009F28AA">
        <w:rPr>
          <w:rFonts w:ascii="Times New Roman" w:hAnsi="Times New Roman" w:cs="Times New Roman"/>
        </w:rPr>
        <w:t xml:space="preserve"> </w:t>
      </w:r>
    </w:p>
  </w:footnote>
  <w:footnote w:id="14">
    <w:p w14:paraId="4897E8AB" w14:textId="6319D4BB" w:rsidR="00FA4B92" w:rsidRPr="00CD5481" w:rsidRDefault="00FA4B92" w:rsidP="009F28AA">
      <w:pPr>
        <w:pStyle w:val="Lbjegyzetszveg"/>
        <w:jc w:val="both"/>
      </w:pPr>
      <w:r w:rsidRPr="009F28AA">
        <w:rPr>
          <w:rStyle w:val="Lbjegyzet-hivatkozs"/>
          <w:rFonts w:ascii="Times New Roman" w:hAnsi="Times New Roman" w:cs="Times New Roman"/>
        </w:rPr>
        <w:footnoteRef/>
      </w:r>
      <w:r w:rsidRPr="009F28AA">
        <w:rPr>
          <w:rFonts w:ascii="Times New Roman" w:hAnsi="Times New Roman" w:cs="Times New Roman"/>
        </w:rPr>
        <w:t>A német szabadalmi tv. (Patentgesetz) 11. cikk (2.b.) pontja szerint: „</w:t>
      </w:r>
      <w:r w:rsidRPr="009F28AA">
        <w:rPr>
          <w:rFonts w:ascii="Times New Roman" w:hAnsi="Times New Roman" w:cs="Times New Roman"/>
          <w:i/>
        </w:rPr>
        <w:t xml:space="preserve">Studies and trials and the consequential practical requirements which are necessary to obtain an authorization according to the Medicines Act for the </w:t>
      </w:r>
      <w:proofErr w:type="gramStart"/>
      <w:r w:rsidRPr="009F28AA">
        <w:rPr>
          <w:rFonts w:ascii="Times New Roman" w:hAnsi="Times New Roman" w:cs="Times New Roman"/>
          <w:i/>
        </w:rPr>
        <w:t xml:space="preserve">marketing </w:t>
      </w:r>
      <w:r w:rsidRPr="009F28AA">
        <w:rPr>
          <w:rFonts w:ascii="Times New Roman" w:hAnsi="Times New Roman" w:cs="Times New Roman"/>
          <w:b/>
          <w:i/>
        </w:rPr>
        <w:t>in</w:t>
      </w:r>
      <w:proofErr w:type="gramEnd"/>
      <w:r w:rsidRPr="009F28AA">
        <w:rPr>
          <w:rFonts w:ascii="Times New Roman" w:hAnsi="Times New Roman" w:cs="Times New Roman"/>
          <w:b/>
          <w:i/>
        </w:rPr>
        <w:t xml:space="preserve"> the European Union </w:t>
      </w:r>
      <w:r w:rsidRPr="009F28AA">
        <w:rPr>
          <w:rFonts w:ascii="Times New Roman" w:hAnsi="Times New Roman" w:cs="Times New Roman"/>
          <w:i/>
        </w:rPr>
        <w:t xml:space="preserve">or an authorization according to the Medicines Act for the marketing </w:t>
      </w:r>
      <w:r w:rsidRPr="009F28AA">
        <w:rPr>
          <w:rFonts w:ascii="Times New Roman" w:hAnsi="Times New Roman" w:cs="Times New Roman"/>
          <w:b/>
          <w:i/>
        </w:rPr>
        <w:t>in the Member States</w:t>
      </w:r>
      <w:r w:rsidRPr="009F28AA">
        <w:rPr>
          <w:rFonts w:ascii="Times New Roman" w:hAnsi="Times New Roman" w:cs="Times New Roman"/>
          <w:i/>
        </w:rPr>
        <w:t xml:space="preserve"> of the European Union </w:t>
      </w:r>
      <w:r w:rsidRPr="009F28AA">
        <w:rPr>
          <w:rFonts w:ascii="Times New Roman" w:hAnsi="Times New Roman" w:cs="Times New Roman"/>
          <w:b/>
          <w:i/>
        </w:rPr>
        <w:t>or in third countries</w:t>
      </w:r>
      <w:r w:rsidRPr="009F28AA">
        <w:rPr>
          <w:rFonts w:ascii="Times New Roman" w:hAnsi="Times New Roman" w:cs="Times New Roman"/>
          <w:i/>
        </w:rPr>
        <w:t>.</w:t>
      </w:r>
      <w:r w:rsidRPr="009F28AA">
        <w:rPr>
          <w:rFonts w:ascii="Times New Roman" w:hAnsi="Times New Roman" w:cs="Times New Roman"/>
        </w:rPr>
        <w:t xml:space="preserve">” </w:t>
      </w:r>
    </w:p>
  </w:footnote>
  <w:footnote w:id="15">
    <w:p w14:paraId="492C3B36" w14:textId="77777777" w:rsidR="00FA4B92" w:rsidRPr="00CD5481" w:rsidRDefault="00FA4B92" w:rsidP="00CD5481">
      <w:pPr>
        <w:pStyle w:val="Lbjegyzetszveg"/>
        <w:jc w:val="both"/>
        <w:rPr>
          <w:rFonts w:ascii="Times New Roman" w:hAnsi="Times New Roman" w:cs="Times New Roman"/>
          <w:i/>
        </w:rPr>
      </w:pPr>
      <w:r w:rsidRPr="00CD5481">
        <w:rPr>
          <w:rStyle w:val="Lbjegyzet-hivatkozs"/>
          <w:rFonts w:ascii="Times New Roman" w:hAnsi="Times New Roman" w:cs="Times New Roman"/>
        </w:rPr>
        <w:footnoteRef/>
      </w:r>
      <w:r w:rsidRPr="00CD5481">
        <w:rPr>
          <w:rFonts w:ascii="Times New Roman" w:hAnsi="Times New Roman" w:cs="Times New Roman"/>
        </w:rPr>
        <w:t xml:space="preserve"> The Patents Act 1977 as amended last until 26 July, 2018, Article 60 (5)]: „</w:t>
      </w:r>
      <w:r w:rsidRPr="00CD5481">
        <w:rPr>
          <w:rFonts w:ascii="Times New Roman" w:hAnsi="Times New Roman" w:cs="Times New Roman"/>
          <w:i/>
        </w:rPr>
        <w:t xml:space="preserve">An act which, apart from this subsection, would constitute an infringement of a patent for an invention shall not do so if; </w:t>
      </w:r>
    </w:p>
    <w:p w14:paraId="1939AC4C" w14:textId="40E871EA" w:rsidR="00FA4B92" w:rsidRPr="00CD5481" w:rsidRDefault="00FA4B92" w:rsidP="00CD5481">
      <w:pPr>
        <w:pStyle w:val="Lbjegyzetszveg"/>
        <w:jc w:val="both"/>
        <w:rPr>
          <w:rFonts w:ascii="Times New Roman" w:hAnsi="Times New Roman" w:cs="Times New Roman"/>
          <w:i/>
        </w:rPr>
      </w:pPr>
      <w:r w:rsidRPr="00CD5481">
        <w:rPr>
          <w:rFonts w:ascii="Times New Roman" w:hAnsi="Times New Roman" w:cs="Times New Roman"/>
          <w:i/>
        </w:rPr>
        <w:t>(…)</w:t>
      </w:r>
    </w:p>
    <w:p w14:paraId="0A171BD8" w14:textId="1825231D" w:rsidR="00FA4B92" w:rsidRPr="00CD5481" w:rsidRDefault="00FA4B92" w:rsidP="00CD5481">
      <w:pPr>
        <w:pStyle w:val="Lbjegyzetszveg"/>
        <w:jc w:val="both"/>
        <w:rPr>
          <w:rFonts w:ascii="Times New Roman" w:hAnsi="Times New Roman" w:cs="Times New Roman"/>
        </w:rPr>
      </w:pPr>
      <w:r w:rsidRPr="00CD5481">
        <w:rPr>
          <w:rFonts w:ascii="Times New Roman" w:hAnsi="Times New Roman" w:cs="Times New Roman"/>
          <w:i/>
        </w:rPr>
        <w:t>(i) an act done in conducting a study, test or trial which is necessary for and is conducted with a view to the application of paragraphs 1 to 5 of article 13 of Directive 2001/82/EC or paragraphs 1 to 4 of article 10 of Directive 2001/83/EC,</w:t>
      </w:r>
      <w:r w:rsidRPr="00CD5481">
        <w:rPr>
          <w:rFonts w:ascii="Times New Roman" w:hAnsi="Times New Roman" w:cs="Times New Roman"/>
        </w:rPr>
        <w:t>”</w:t>
      </w:r>
    </w:p>
  </w:footnote>
  <w:footnote w:id="16">
    <w:p w14:paraId="6E99BA00" w14:textId="77777777" w:rsidR="00FA4B92" w:rsidRPr="00CD5481" w:rsidRDefault="00FA4B92" w:rsidP="00CD5481">
      <w:pPr>
        <w:pStyle w:val="Lbjegyzetszveg"/>
        <w:jc w:val="both"/>
        <w:rPr>
          <w:rFonts w:ascii="Times New Roman" w:hAnsi="Times New Roman" w:cs="Times New Roman"/>
        </w:rPr>
      </w:pPr>
      <w:r w:rsidRPr="00CD5481">
        <w:rPr>
          <w:rStyle w:val="Lbjegyzet-hivatkozs"/>
          <w:rFonts w:ascii="Times New Roman" w:hAnsi="Times New Roman" w:cs="Times New Roman"/>
        </w:rPr>
        <w:footnoteRef/>
      </w:r>
      <w:r w:rsidRPr="00CD5481">
        <w:rPr>
          <w:rFonts w:ascii="Times New Roman" w:hAnsi="Times New Roman" w:cs="Times New Roman"/>
        </w:rPr>
        <w:t xml:space="preserve"> Code de la propriété intellectuelle, L613-5: </w:t>
      </w:r>
    </w:p>
    <w:p w14:paraId="72D4985F" w14:textId="71BA7989" w:rsidR="00FA4B92" w:rsidRPr="00CD5481" w:rsidRDefault="00FA4B92" w:rsidP="00CD5481">
      <w:pPr>
        <w:pStyle w:val="Lbjegyzetszveg"/>
        <w:jc w:val="both"/>
        <w:rPr>
          <w:rFonts w:ascii="Times New Roman" w:hAnsi="Times New Roman" w:cs="Times New Roman"/>
          <w:i/>
        </w:rPr>
      </w:pPr>
      <w:r w:rsidRPr="00CD5481">
        <w:rPr>
          <w:rFonts w:ascii="Times New Roman" w:hAnsi="Times New Roman" w:cs="Times New Roman"/>
        </w:rPr>
        <w:t>„</w:t>
      </w:r>
      <w:r w:rsidRPr="00CD5481">
        <w:rPr>
          <w:rFonts w:ascii="Times New Roman" w:hAnsi="Times New Roman" w:cs="Times New Roman"/>
          <w:i/>
        </w:rPr>
        <w:t xml:space="preserve">The rights conferred by a patent shall not extend to: </w:t>
      </w:r>
    </w:p>
    <w:p w14:paraId="2D1557B9" w14:textId="63C0D0CC" w:rsidR="00FA4B92" w:rsidRPr="00CD5481" w:rsidRDefault="00FA4B92" w:rsidP="00CD5481">
      <w:pPr>
        <w:pStyle w:val="Lbjegyzetszveg"/>
        <w:jc w:val="both"/>
        <w:rPr>
          <w:rFonts w:ascii="Times New Roman" w:hAnsi="Times New Roman" w:cs="Times New Roman"/>
          <w:i/>
        </w:rPr>
      </w:pPr>
      <w:r w:rsidRPr="00CD5481">
        <w:rPr>
          <w:rFonts w:ascii="Times New Roman" w:hAnsi="Times New Roman" w:cs="Times New Roman"/>
          <w:i/>
        </w:rPr>
        <w:t>(…)</w:t>
      </w:r>
    </w:p>
    <w:p w14:paraId="201324C4" w14:textId="771703F6" w:rsidR="00FA4B92" w:rsidRPr="00CD5481" w:rsidRDefault="00FA4B92" w:rsidP="00CD5481">
      <w:pPr>
        <w:pStyle w:val="Lbjegyzetszveg"/>
        <w:jc w:val="both"/>
        <w:rPr>
          <w:rFonts w:ascii="Times New Roman" w:hAnsi="Times New Roman" w:cs="Times New Roman"/>
        </w:rPr>
      </w:pPr>
      <w:r w:rsidRPr="00CD5481">
        <w:rPr>
          <w:rFonts w:ascii="Times New Roman" w:hAnsi="Times New Roman" w:cs="Times New Roman"/>
          <w:i/>
        </w:rPr>
        <w:t>d) studies and tests required to obtain an authorization to market a drug, as well as acts needed to achieve them and to obtain the authorization;</w:t>
      </w:r>
      <w:r w:rsidRPr="00CD5481">
        <w:rPr>
          <w:rFonts w:ascii="Times New Roman" w:hAnsi="Times New Roman" w:cs="Times New Roman"/>
        </w:rPr>
        <w:t xml:space="preserve">” </w:t>
      </w:r>
    </w:p>
  </w:footnote>
  <w:footnote w:id="17">
    <w:p w14:paraId="244C33C6" w14:textId="6FD235F8" w:rsidR="00FA4B92" w:rsidRPr="00C60E19" w:rsidRDefault="00FA4B92" w:rsidP="00C60E19">
      <w:pPr>
        <w:pStyle w:val="Lbjegyzetszveg"/>
        <w:jc w:val="both"/>
        <w:rPr>
          <w:rFonts w:ascii="Times New Roman" w:hAnsi="Times New Roman" w:cs="Times New Roman"/>
        </w:rPr>
      </w:pPr>
      <w:r w:rsidRPr="007D6356">
        <w:rPr>
          <w:rStyle w:val="Lbjegyzet-hivatkozs"/>
          <w:rFonts w:ascii="Times New Roman" w:hAnsi="Times New Roman" w:cs="Times New Roman"/>
        </w:rPr>
        <w:footnoteRef/>
      </w:r>
      <w:r w:rsidRPr="007D6356">
        <w:rPr>
          <w:rFonts w:ascii="Times New Roman" w:hAnsi="Times New Roman" w:cs="Times New Roman"/>
        </w:rPr>
        <w:t xml:space="preserve"> </w:t>
      </w:r>
      <w:r w:rsidRPr="00C60E19">
        <w:rPr>
          <w:rFonts w:ascii="Times New Roman" w:hAnsi="Times New Roman" w:cs="Times New Roman"/>
        </w:rPr>
        <w:t>Ley 24/2015, de 24 de julio, de Patentes 61. cikk (1) bekezdés c) pont</w:t>
      </w:r>
    </w:p>
  </w:footnote>
  <w:footnote w:id="18">
    <w:p w14:paraId="0648249A" w14:textId="74312DD1" w:rsidR="00FA4B92" w:rsidRDefault="00FA4B92" w:rsidP="00C60E19">
      <w:pPr>
        <w:pStyle w:val="Lbjegyzetszveg"/>
        <w:jc w:val="both"/>
      </w:pPr>
      <w:r w:rsidRPr="00C60E19">
        <w:rPr>
          <w:rStyle w:val="Lbjegyzet-hivatkozs"/>
          <w:rFonts w:ascii="Times New Roman" w:hAnsi="Times New Roman" w:cs="Times New Roman"/>
        </w:rPr>
        <w:footnoteRef/>
      </w:r>
      <w:r w:rsidRPr="00C60E19">
        <w:rPr>
          <w:rFonts w:ascii="Times New Roman" w:hAnsi="Times New Roman" w:cs="Times New Roman"/>
        </w:rPr>
        <w:t xml:space="preserve"> Az új szabályozás értelmében: ’</w:t>
      </w:r>
      <w:r w:rsidRPr="00C60E19">
        <w:rPr>
          <w:rFonts w:ascii="Times New Roman" w:hAnsi="Times New Roman" w:cs="Times New Roman"/>
          <w:i/>
        </w:rPr>
        <w:t>[The patent is not infringed by] use of the invention consisting in the manufacture, use, storage, offering, placing on the market, exporting or importing in order to perform activities which are required by law to obtain, also by a third party, registration or authorization as a condition of admission for the marketing of certain products due to their intended use, in particular medicinal products on the territory of the European Economic Area or another country.”</w:t>
      </w:r>
    </w:p>
  </w:footnote>
  <w:footnote w:id="19">
    <w:p w14:paraId="2F3166F1" w14:textId="77777777" w:rsidR="00FA4B92" w:rsidRPr="00753F46" w:rsidRDefault="00FA4B92" w:rsidP="00753F46">
      <w:pPr>
        <w:pStyle w:val="Lbjegyzetszveg"/>
        <w:jc w:val="both"/>
        <w:rPr>
          <w:rFonts w:ascii="Times New Roman" w:hAnsi="Times New Roman" w:cs="Times New Roman"/>
        </w:rPr>
      </w:pPr>
      <w:r w:rsidRPr="00753F46">
        <w:rPr>
          <w:rStyle w:val="Lbjegyzet-hivatkozs"/>
          <w:rFonts w:ascii="Times New Roman" w:hAnsi="Times New Roman" w:cs="Times New Roman"/>
        </w:rPr>
        <w:footnoteRef/>
      </w:r>
      <w:r w:rsidRPr="00753F46">
        <w:rPr>
          <w:rFonts w:ascii="Times New Roman" w:hAnsi="Times New Roman" w:cs="Times New Roman"/>
        </w:rPr>
        <w:t xml:space="preserve"> Ld. pl. a C-661/13. Astellas Pharma ügyet. Elérhető: </w:t>
      </w:r>
      <w:hyperlink r:id="rId5" w:history="1">
        <w:r w:rsidRPr="00753F46">
          <w:rPr>
            <w:rStyle w:val="Hiperhivatkozs"/>
            <w:rFonts w:ascii="Times New Roman" w:hAnsi="Times New Roman" w:cs="Times New Roman"/>
          </w:rPr>
          <w:t>http://curia.europa.eu/juris/liste.jsf?oqp=&amp;for=&amp;mat=or&amp;jge=&amp;td=%3BALL&amp;jur=C%2CT%2CF&amp;num=C-661%252F13&amp;page=1&amp;dates=&amp;pcs=Oor&amp;lg=&amp;pro=&amp;nat=or&amp;cit=none%252CC%252CCJ%252CR%252C2008E%252C%252C%252C%252C%252C%252C%252C%252C%252C%252Ctrue%252Cfalse%252Cfalse&amp;language=en&amp;avg=&amp;cid=5123580</w:t>
        </w:r>
      </w:hyperlink>
      <w:r w:rsidRPr="00753F46">
        <w:rPr>
          <w:rFonts w:ascii="Times New Roman" w:hAnsi="Times New Roman" w:cs="Times New Roman"/>
        </w:rPr>
        <w:t>.</w:t>
      </w:r>
    </w:p>
  </w:footnote>
  <w:footnote w:id="20">
    <w:p w14:paraId="15470565" w14:textId="77777777" w:rsidR="00FA4B92" w:rsidRPr="00753F46" w:rsidRDefault="00FA4B92" w:rsidP="00753F46">
      <w:pPr>
        <w:pStyle w:val="Lbjegyzetszveg"/>
        <w:jc w:val="both"/>
        <w:rPr>
          <w:rFonts w:ascii="Times New Roman" w:hAnsi="Times New Roman" w:cs="Times New Roman"/>
        </w:rPr>
      </w:pPr>
      <w:r w:rsidRPr="00753F46">
        <w:rPr>
          <w:rStyle w:val="Lbjegyzet-hivatkozs"/>
          <w:rFonts w:ascii="Times New Roman" w:hAnsi="Times New Roman" w:cs="Times New Roman"/>
        </w:rPr>
        <w:footnoteRef/>
      </w:r>
      <w:r w:rsidRPr="00753F46">
        <w:rPr>
          <w:rFonts w:ascii="Times New Roman" w:hAnsi="Times New Roman" w:cs="Times New Roman"/>
        </w:rPr>
        <w:t xml:space="preserve"> </w:t>
      </w:r>
      <w:r w:rsidRPr="00753F46">
        <w:rPr>
          <w:rFonts w:ascii="Times New Roman" w:hAnsi="Times New Roman" w:cs="Times New Roman"/>
          <w:smallCaps/>
        </w:rPr>
        <w:t>Benard</w:t>
      </w:r>
      <w:r w:rsidRPr="00753F46">
        <w:rPr>
          <w:rFonts w:ascii="Times New Roman" w:hAnsi="Times New Roman" w:cs="Times New Roman"/>
        </w:rPr>
        <w:t xml:space="preserve"> – </w:t>
      </w:r>
      <w:r w:rsidRPr="00753F46">
        <w:rPr>
          <w:rFonts w:ascii="Times New Roman" w:hAnsi="Times New Roman" w:cs="Times New Roman"/>
          <w:smallCaps/>
        </w:rPr>
        <w:t>Bore</w:t>
      </w:r>
      <w:r w:rsidRPr="00753F46">
        <w:rPr>
          <w:rFonts w:ascii="Times New Roman" w:hAnsi="Times New Roman" w:cs="Times New Roman"/>
        </w:rPr>
        <w:t xml:space="preserve"> – </w:t>
      </w:r>
      <w:r w:rsidRPr="00753F46">
        <w:rPr>
          <w:rFonts w:ascii="Times New Roman" w:hAnsi="Times New Roman" w:cs="Times New Roman"/>
          <w:smallCaps/>
        </w:rPr>
        <w:t>Van Keymeulen</w:t>
      </w:r>
      <w:r w:rsidRPr="00753F46">
        <w:rPr>
          <w:rFonts w:ascii="Times New Roman" w:hAnsi="Times New Roman" w:cs="Times New Roman"/>
        </w:rPr>
        <w:t xml:space="preserve"> i.m. (2018) 77. Ld. pl. legutóbb a lengyel Bolar kivétel módosítását: Agnieszka </w:t>
      </w:r>
      <w:r w:rsidRPr="00753F46">
        <w:rPr>
          <w:rFonts w:ascii="Times New Roman" w:hAnsi="Times New Roman" w:cs="Times New Roman"/>
          <w:smallCaps/>
        </w:rPr>
        <w:t>Sztoldman</w:t>
      </w:r>
      <w:r w:rsidRPr="00753F46">
        <w:rPr>
          <w:rFonts w:ascii="Times New Roman" w:hAnsi="Times New Roman" w:cs="Times New Roman"/>
        </w:rPr>
        <w:t xml:space="preserve">: Poland changes course on its Bolar provision. </w:t>
      </w:r>
      <w:r w:rsidRPr="00753F46">
        <w:rPr>
          <w:rFonts w:ascii="Times New Roman" w:hAnsi="Times New Roman" w:cs="Times New Roman"/>
          <w:i/>
        </w:rPr>
        <w:t>Taylor Wessing.com</w:t>
      </w:r>
      <w:r w:rsidRPr="00753F46">
        <w:rPr>
          <w:rFonts w:ascii="Times New Roman" w:hAnsi="Times New Roman" w:cs="Times New Roman"/>
        </w:rPr>
        <w:t xml:space="preserve">, 2019. november. Elérhető: </w:t>
      </w:r>
      <w:hyperlink r:id="rId6" w:history="1">
        <w:r w:rsidRPr="00753F46">
          <w:rPr>
            <w:rStyle w:val="Hiperhivatkozs"/>
            <w:rFonts w:ascii="Times New Roman" w:hAnsi="Times New Roman" w:cs="Times New Roman"/>
          </w:rPr>
          <w:t>https://www.taylorwessing.com/synapse/ti-bolar-provision.html</w:t>
        </w:r>
      </w:hyperlink>
      <w:r w:rsidRPr="00753F46">
        <w:rPr>
          <w:rFonts w:ascii="Times New Roman" w:hAnsi="Times New Roman" w:cs="Times New Roman"/>
        </w:rPr>
        <w:t>.</w:t>
      </w:r>
    </w:p>
  </w:footnote>
  <w:footnote w:id="21">
    <w:p w14:paraId="2D1C2830" w14:textId="77777777" w:rsidR="00FA4B92" w:rsidRPr="00753F46" w:rsidRDefault="00FA4B92" w:rsidP="00091DD6">
      <w:pPr>
        <w:pStyle w:val="Lbjegyzetszveg"/>
        <w:jc w:val="both"/>
        <w:rPr>
          <w:rFonts w:ascii="Times New Roman" w:hAnsi="Times New Roman" w:cs="Times New Roman"/>
        </w:rPr>
      </w:pPr>
      <w:r w:rsidRPr="00753F46">
        <w:rPr>
          <w:rStyle w:val="Lbjegyzet-hivatkozs"/>
          <w:rFonts w:ascii="Times New Roman" w:hAnsi="Times New Roman" w:cs="Times New Roman"/>
        </w:rPr>
        <w:footnoteRef/>
      </w:r>
      <w:r w:rsidRPr="00753F46">
        <w:rPr>
          <w:rFonts w:ascii="Times New Roman" w:hAnsi="Times New Roman" w:cs="Times New Roman"/>
        </w:rPr>
        <w:t xml:space="preserve"> Az Európai Bizottság megrendelésére készült tanulmány a hazai Bolar kivételt hatályos formájában is tágnak ítélte meg, ld. Raphaël </w:t>
      </w:r>
      <w:r w:rsidRPr="00753F46">
        <w:rPr>
          <w:rFonts w:ascii="Times New Roman" w:hAnsi="Times New Roman" w:cs="Times New Roman"/>
          <w:smallCaps/>
        </w:rPr>
        <w:t>De Coninck</w:t>
      </w:r>
      <w:r w:rsidRPr="00753F46">
        <w:rPr>
          <w:rFonts w:ascii="Times New Roman" w:hAnsi="Times New Roman" w:cs="Times New Roman"/>
        </w:rPr>
        <w:t xml:space="preserve"> – Elina </w:t>
      </w:r>
      <w:r w:rsidRPr="00753F46">
        <w:rPr>
          <w:rFonts w:ascii="Times New Roman" w:hAnsi="Times New Roman" w:cs="Times New Roman"/>
          <w:smallCaps/>
        </w:rPr>
        <w:t>Koustoumpardi</w:t>
      </w:r>
      <w:r w:rsidRPr="00753F46">
        <w:rPr>
          <w:rFonts w:ascii="Times New Roman" w:hAnsi="Times New Roman" w:cs="Times New Roman"/>
        </w:rPr>
        <w:t xml:space="preserve"> – Roman </w:t>
      </w:r>
      <w:r w:rsidRPr="00753F46">
        <w:rPr>
          <w:rFonts w:ascii="Times New Roman" w:hAnsi="Times New Roman" w:cs="Times New Roman"/>
          <w:smallCaps/>
        </w:rPr>
        <w:t>Fischer</w:t>
      </w:r>
      <w:r w:rsidRPr="00753F46">
        <w:rPr>
          <w:rFonts w:ascii="Times New Roman" w:hAnsi="Times New Roman" w:cs="Times New Roman"/>
        </w:rPr>
        <w:t xml:space="preserve"> – Guillaume </w:t>
      </w:r>
      <w:r w:rsidRPr="00753F46">
        <w:rPr>
          <w:rFonts w:ascii="Times New Roman" w:hAnsi="Times New Roman" w:cs="Times New Roman"/>
          <w:smallCaps/>
        </w:rPr>
        <w:t>Débarbat</w:t>
      </w:r>
      <w:r w:rsidRPr="00753F46">
        <w:rPr>
          <w:rFonts w:ascii="Times New Roman" w:hAnsi="Times New Roman" w:cs="Times New Roman"/>
        </w:rPr>
        <w:t xml:space="preserve">: </w:t>
      </w:r>
      <w:r w:rsidRPr="00753F46">
        <w:rPr>
          <w:rFonts w:ascii="Times New Roman" w:hAnsi="Times New Roman" w:cs="Times New Roman"/>
          <w:i/>
        </w:rPr>
        <w:t>Assessing the economic impacts of changing exemption provisions during patent and SPC protection in Europe</w:t>
      </w:r>
      <w:r w:rsidRPr="00753F46">
        <w:rPr>
          <w:rFonts w:ascii="Times New Roman" w:hAnsi="Times New Roman" w:cs="Times New Roman"/>
        </w:rPr>
        <w:t xml:space="preserve">. Charles River Associates, 2016. p. 47. Elérhető: </w:t>
      </w:r>
      <w:hyperlink r:id="rId7" w:history="1">
        <w:r w:rsidRPr="00753F46">
          <w:rPr>
            <w:rStyle w:val="Hiperhivatkozs"/>
            <w:rFonts w:ascii="Times New Roman" w:hAnsi="Times New Roman" w:cs="Times New Roman"/>
          </w:rPr>
          <w:t>http://publications.europa.eu/resource/cellar/6e4ce9f8-aa41-11e7-837e-01aa75ed71a1.0001.01/DOC_1</w:t>
        </w:r>
      </w:hyperlink>
      <w:r w:rsidRPr="00753F46">
        <w:rPr>
          <w:rFonts w:ascii="Times New Roman" w:hAnsi="Times New Roman" w:cs="Times New Roman"/>
        </w:rPr>
        <w:t xml:space="preserve">. Azonos megállapításra jut: Cristina-Luiza </w:t>
      </w:r>
      <w:r w:rsidRPr="00753F46">
        <w:rPr>
          <w:rFonts w:ascii="Times New Roman" w:hAnsi="Times New Roman" w:cs="Times New Roman"/>
          <w:smallCaps/>
        </w:rPr>
        <w:t>Erimia</w:t>
      </w:r>
      <w:r w:rsidRPr="00753F46">
        <w:rPr>
          <w:rFonts w:ascii="Times New Roman" w:hAnsi="Times New Roman" w:cs="Times New Roman"/>
        </w:rPr>
        <w:t xml:space="preserve">: Legislative and Jurisprudential Issues concerning the Application of EU Law into National Pharmaceutical Law. </w:t>
      </w:r>
      <w:r w:rsidRPr="00753F46">
        <w:rPr>
          <w:rFonts w:ascii="Times New Roman" w:hAnsi="Times New Roman" w:cs="Times New Roman"/>
          <w:i/>
        </w:rPr>
        <w:t>Conferinta Internationala de Drept, Studii Europene si Relatii Internationale</w:t>
      </w:r>
      <w:r w:rsidRPr="00753F46">
        <w:rPr>
          <w:rFonts w:ascii="Times New Roman" w:hAnsi="Times New Roman" w:cs="Times New Roman"/>
        </w:rPr>
        <w:t>, 2019. p. 38.</w:t>
      </w:r>
    </w:p>
  </w:footnote>
  <w:footnote w:id="22">
    <w:p w14:paraId="2C3E97B3" w14:textId="77777777" w:rsidR="00FA4B92" w:rsidRPr="00753F46" w:rsidRDefault="00FA4B92" w:rsidP="00091DD6">
      <w:pPr>
        <w:pStyle w:val="Lbjegyzetszveg"/>
        <w:jc w:val="both"/>
        <w:rPr>
          <w:rFonts w:ascii="Times New Roman" w:hAnsi="Times New Roman" w:cs="Times New Roman"/>
        </w:rPr>
      </w:pPr>
      <w:r w:rsidRPr="00753F46">
        <w:rPr>
          <w:rStyle w:val="Lbjegyzet-hivatkozs"/>
          <w:rFonts w:ascii="Times New Roman" w:hAnsi="Times New Roman" w:cs="Times New Roman"/>
        </w:rPr>
        <w:footnoteRef/>
      </w:r>
      <w:r w:rsidRPr="00753F46">
        <w:rPr>
          <w:rFonts w:ascii="Times New Roman" w:hAnsi="Times New Roman" w:cs="Times New Roman"/>
        </w:rPr>
        <w:t xml:space="preserve"> Ebből a szempontból beszédes lehet, hogy a Bolar kivétel személyi és tárgyi hatályának tisztázására irányuló előzetes döntéshozatalra bocsájtott kérdéseket végül visszavonták az Európai Unió Bírósága előtt. Ld. Justyna </w:t>
      </w:r>
      <w:r w:rsidRPr="00753F46">
        <w:rPr>
          <w:rFonts w:ascii="Times New Roman" w:hAnsi="Times New Roman" w:cs="Times New Roman"/>
          <w:smallCaps/>
        </w:rPr>
        <w:t>Ostrowska</w:t>
      </w:r>
      <w:r w:rsidRPr="00753F46">
        <w:rPr>
          <w:rFonts w:ascii="Times New Roman" w:hAnsi="Times New Roman" w:cs="Times New Roman"/>
        </w:rPr>
        <w:t xml:space="preserve"> – Dorthe </w:t>
      </w:r>
      <w:r w:rsidRPr="00753F46">
        <w:rPr>
          <w:rFonts w:ascii="Times New Roman" w:hAnsi="Times New Roman" w:cs="Times New Roman"/>
          <w:smallCaps/>
        </w:rPr>
        <w:t>Minde</w:t>
      </w:r>
      <w:r w:rsidRPr="00753F46">
        <w:rPr>
          <w:rFonts w:ascii="Times New Roman" w:hAnsi="Times New Roman" w:cs="Times New Roman"/>
        </w:rPr>
        <w:t xml:space="preserve">: Latest Trends in Bolar Exemption Rules in Europe. </w:t>
      </w:r>
      <w:r w:rsidRPr="00753F46">
        <w:rPr>
          <w:rFonts w:ascii="Times New Roman" w:hAnsi="Times New Roman" w:cs="Times New Roman"/>
          <w:i/>
        </w:rPr>
        <w:t>Managing Intellectual Property</w:t>
      </w:r>
      <w:r w:rsidRPr="00753F46">
        <w:rPr>
          <w:rFonts w:ascii="Times New Roman" w:hAnsi="Times New Roman" w:cs="Times New Roman"/>
        </w:rPr>
        <w:t>, Vol. 241, 2014. p. 44-47</w:t>
      </w:r>
    </w:p>
  </w:footnote>
  <w:footnote w:id="23">
    <w:p w14:paraId="764AF150" w14:textId="3DEEBACD" w:rsidR="00FA4B92" w:rsidRPr="007D6356" w:rsidRDefault="00FA4B92" w:rsidP="00C2470A">
      <w:pPr>
        <w:pStyle w:val="Lbjegyzetszveg"/>
        <w:jc w:val="both"/>
        <w:rPr>
          <w:rFonts w:ascii="Times New Roman" w:hAnsi="Times New Roman" w:cs="Times New Roman"/>
        </w:rPr>
      </w:pPr>
      <w:r w:rsidRPr="00C2470A">
        <w:rPr>
          <w:rStyle w:val="Lbjegyzet-hivatkozs"/>
          <w:rFonts w:ascii="Times New Roman" w:hAnsi="Times New Roman" w:cs="Times New Roman"/>
        </w:rPr>
        <w:footnoteRef/>
      </w:r>
      <w:r w:rsidRPr="00C2470A">
        <w:rPr>
          <w:rFonts w:ascii="Times New Roman" w:hAnsi="Times New Roman" w:cs="Times New Roman"/>
        </w:rPr>
        <w:t xml:space="preserve"> ld. az EK és Kanada közötti WTO </w:t>
      </w:r>
      <w:r w:rsidR="00B7061B">
        <w:rPr>
          <w:rFonts w:ascii="Times New Roman" w:hAnsi="Times New Roman" w:cs="Times New Roman"/>
        </w:rPr>
        <w:t>V</w:t>
      </w:r>
      <w:r w:rsidRPr="00C2470A">
        <w:rPr>
          <w:rFonts w:ascii="Times New Roman" w:hAnsi="Times New Roman" w:cs="Times New Roman"/>
        </w:rPr>
        <w:t xml:space="preserve">itarendezési </w:t>
      </w:r>
      <w:r w:rsidR="00B7061B">
        <w:rPr>
          <w:rFonts w:ascii="Times New Roman" w:hAnsi="Times New Roman" w:cs="Times New Roman"/>
        </w:rPr>
        <w:t>Testületi (DSB) előtt eljárásban</w:t>
      </w:r>
      <w:r w:rsidR="00B7061B" w:rsidRPr="00C2470A">
        <w:rPr>
          <w:rFonts w:ascii="Times New Roman" w:hAnsi="Times New Roman" w:cs="Times New Roman"/>
        </w:rPr>
        <w:t xml:space="preserve"> </w:t>
      </w:r>
      <w:r w:rsidR="00B7061B">
        <w:rPr>
          <w:rFonts w:ascii="Times New Roman" w:hAnsi="Times New Roman" w:cs="Times New Roman"/>
        </w:rPr>
        <w:t>született döntést.</w:t>
      </w:r>
      <w:r w:rsidR="00B7061B" w:rsidRPr="00C2470A">
        <w:rPr>
          <w:rFonts w:ascii="Times New Roman" w:hAnsi="Times New Roman" w:cs="Times New Roman"/>
        </w:rPr>
        <w:t xml:space="preserve"> </w:t>
      </w:r>
      <w:r w:rsidRPr="00C2470A">
        <w:rPr>
          <w:rFonts w:ascii="Times New Roman" w:hAnsi="Times New Roman" w:cs="Times New Roman"/>
        </w:rPr>
        <w:t>WT/DS114/R. sz. „Canada - Patent Protection of Pharmaceutical Products - Complaint by the European Communities and their Member States - Report of the Panel”</w:t>
      </w:r>
      <w:r>
        <w:rPr>
          <w:rFonts w:ascii="Times New Roman" w:hAnsi="Times New Roman" w:cs="Times New Roman"/>
        </w:rPr>
        <w:t>.</w:t>
      </w:r>
      <w:r w:rsidR="00B7061B" w:rsidRPr="00B7061B">
        <w:rPr>
          <w:rFonts w:ascii="Times New Roman" w:hAnsi="Times New Roman" w:cs="Times New Roman"/>
        </w:rPr>
        <w:t xml:space="preserve"> </w:t>
      </w:r>
      <w:r w:rsidR="00B7061B" w:rsidRPr="00753F46">
        <w:rPr>
          <w:rFonts w:ascii="Times New Roman" w:hAnsi="Times New Roman" w:cs="Times New Roman"/>
        </w:rPr>
        <w:t xml:space="preserve">Ld. még: David </w:t>
      </w:r>
      <w:r w:rsidR="00B7061B" w:rsidRPr="00753F46">
        <w:rPr>
          <w:rFonts w:ascii="Times New Roman" w:hAnsi="Times New Roman" w:cs="Times New Roman"/>
          <w:smallCaps/>
        </w:rPr>
        <w:t>Perkins</w:t>
      </w:r>
      <w:r w:rsidR="00B7061B" w:rsidRPr="00753F46">
        <w:rPr>
          <w:rFonts w:ascii="Times New Roman" w:hAnsi="Times New Roman" w:cs="Times New Roman"/>
        </w:rPr>
        <w:t xml:space="preserve">: Commentary: European Patent Law Developments. </w:t>
      </w:r>
      <w:r w:rsidR="00B7061B" w:rsidRPr="00753F46">
        <w:rPr>
          <w:rFonts w:ascii="Times New Roman" w:hAnsi="Times New Roman" w:cs="Times New Roman"/>
          <w:i/>
        </w:rPr>
        <w:t>International Intellectual Property Law &amp; Policy</w:t>
      </w:r>
      <w:r w:rsidR="00B7061B" w:rsidRPr="00753F46">
        <w:rPr>
          <w:rFonts w:ascii="Times New Roman" w:hAnsi="Times New Roman" w:cs="Times New Roman"/>
        </w:rPr>
        <w:t>, Vol. 4, 2000. p. 18-1.</w:t>
      </w:r>
    </w:p>
  </w:footnote>
  <w:footnote w:id="24">
    <w:p w14:paraId="1C26502C" w14:textId="4D6734D4" w:rsidR="00FE3DFF" w:rsidRDefault="00FE3DFF" w:rsidP="009B2064">
      <w:pPr>
        <w:pStyle w:val="Lbjegyzetszveg"/>
        <w:jc w:val="both"/>
      </w:pPr>
      <w:r w:rsidRPr="009B2064">
        <w:rPr>
          <w:rStyle w:val="Lbjegyzet-hivatkozs"/>
          <w:rFonts w:ascii="Times New Roman" w:hAnsi="Times New Roman" w:cs="Times New Roman"/>
        </w:rPr>
        <w:footnoteRef/>
      </w:r>
      <w:r w:rsidRPr="009B2064">
        <w:rPr>
          <w:rFonts w:ascii="Times New Roman" w:hAnsi="Times New Roman" w:cs="Times New Roman"/>
        </w:rPr>
        <w:t xml:space="preserve"> </w:t>
      </w:r>
      <w:r w:rsidRPr="009B2064">
        <w:rPr>
          <w:rFonts w:ascii="Times New Roman" w:hAnsi="Times New Roman" w:cs="Times New Roman"/>
          <w:bCs/>
        </w:rPr>
        <w:t>Pl. a gyógyszeripar területén a generikus gyógyszerek számának csökkenése hosszú távon a generikus portfólió visszaesését eredményezheti</w:t>
      </w:r>
      <w:r w:rsidRPr="00AA700B">
        <w:rPr>
          <w:rFonts w:ascii="Times New Roman" w:hAnsi="Times New Roman" w:cs="Times New Roman"/>
          <w:bCs/>
          <w:sz w:val="24"/>
          <w:szCs w:val="24"/>
        </w:rPr>
        <w:t>.</w:t>
      </w:r>
    </w:p>
  </w:footnote>
  <w:footnote w:id="25">
    <w:p w14:paraId="60A69F00" w14:textId="77777777" w:rsidR="00FA4B92" w:rsidRPr="00753F46" w:rsidRDefault="00FA4B92" w:rsidP="00753F46">
      <w:pPr>
        <w:pStyle w:val="Lbjegyzetszveg"/>
        <w:jc w:val="both"/>
        <w:rPr>
          <w:rFonts w:ascii="Times New Roman" w:hAnsi="Times New Roman" w:cs="Times New Roman"/>
        </w:rPr>
      </w:pPr>
      <w:r w:rsidRPr="00753F46">
        <w:rPr>
          <w:rStyle w:val="Lbjegyzet-hivatkozs"/>
          <w:rFonts w:ascii="Times New Roman" w:hAnsi="Times New Roman" w:cs="Times New Roman"/>
        </w:rPr>
        <w:footnoteRef/>
      </w:r>
      <w:r w:rsidRPr="00753F46">
        <w:rPr>
          <w:rFonts w:ascii="Times New Roman" w:hAnsi="Times New Roman" w:cs="Times New Roman"/>
        </w:rPr>
        <w:t xml:space="preserve"> </w:t>
      </w:r>
      <w:r w:rsidRPr="00753F46">
        <w:rPr>
          <w:rFonts w:ascii="Times New Roman" w:hAnsi="Times New Roman" w:cs="Times New Roman"/>
          <w:smallCaps/>
        </w:rPr>
        <w:t>Ficsor</w:t>
      </w:r>
      <w:r w:rsidRPr="00753F46">
        <w:rPr>
          <w:rFonts w:ascii="Times New Roman" w:hAnsi="Times New Roman" w:cs="Times New Roman"/>
        </w:rPr>
        <w:t xml:space="preserve"> Mihály: </w:t>
      </w:r>
      <w:r w:rsidRPr="00753F46">
        <w:rPr>
          <w:rFonts w:ascii="Times New Roman" w:hAnsi="Times New Roman" w:cs="Times New Roman"/>
          <w:i/>
        </w:rPr>
        <w:t>Ingadozó egyensúly: a szabadalmi és kiegészítő oltalom korlátjai</w:t>
      </w:r>
      <w:r w:rsidRPr="00753F46">
        <w:rPr>
          <w:rFonts w:ascii="Times New Roman" w:hAnsi="Times New Roman" w:cs="Times New Roman"/>
        </w:rPr>
        <w:t xml:space="preserve">. MIE Konferencia, 2016. november 24-25. p. 20. Elérhető: </w:t>
      </w:r>
      <w:hyperlink r:id="rId8" w:history="1">
        <w:r w:rsidRPr="00753F46">
          <w:rPr>
            <w:rStyle w:val="Hiperhivatkozs"/>
            <w:rFonts w:ascii="Times New Roman" w:hAnsi="Times New Roman" w:cs="Times New Roman"/>
          </w:rPr>
          <w:t>http://www.mie.org.hu/eloadasok_2016/oszi_konf/Ficsor_Ingadozo_egyensuly_2016_11_24.pdf</w:t>
        </w:r>
      </w:hyperlink>
      <w:r w:rsidRPr="00753F46">
        <w:rPr>
          <w:rFonts w:ascii="Times New Roman" w:hAnsi="Times New Roman" w:cs="Times New Roman"/>
        </w:rPr>
        <w:t>.</w:t>
      </w:r>
    </w:p>
  </w:footnote>
  <w:footnote w:id="26">
    <w:p w14:paraId="732E9C63" w14:textId="77777777" w:rsidR="00FA4B92" w:rsidRPr="00753F46" w:rsidRDefault="00FA4B92" w:rsidP="00753F46">
      <w:pPr>
        <w:pStyle w:val="Lbjegyzetszveg"/>
        <w:jc w:val="both"/>
        <w:rPr>
          <w:rFonts w:ascii="Times New Roman" w:hAnsi="Times New Roman" w:cs="Times New Roman"/>
        </w:rPr>
      </w:pPr>
      <w:r w:rsidRPr="00753F46">
        <w:rPr>
          <w:rStyle w:val="Lbjegyzet-hivatkozs"/>
          <w:rFonts w:ascii="Times New Roman" w:hAnsi="Times New Roman" w:cs="Times New Roman"/>
        </w:rPr>
        <w:footnoteRef/>
      </w:r>
      <w:r w:rsidRPr="00753F46">
        <w:rPr>
          <w:rFonts w:ascii="Times New Roman" w:hAnsi="Times New Roman" w:cs="Times New Roman"/>
        </w:rPr>
        <w:t xml:space="preserve"> </w:t>
      </w:r>
      <w:r w:rsidRPr="00753F46">
        <w:rPr>
          <w:rFonts w:ascii="Times New Roman" w:hAnsi="Times New Roman" w:cs="Times New Roman"/>
          <w:smallCaps/>
        </w:rPr>
        <w:t>Buzásné Nagy</w:t>
      </w:r>
      <w:r w:rsidRPr="00753F46">
        <w:rPr>
          <w:rFonts w:ascii="Times New Roman" w:hAnsi="Times New Roman" w:cs="Times New Roman"/>
        </w:rPr>
        <w:t xml:space="preserve"> Zsuzsanna: SPC, Bolar kivétel: forradalmi változások kezdete? </w:t>
      </w:r>
      <w:r w:rsidRPr="00753F46">
        <w:rPr>
          <w:rFonts w:ascii="Times New Roman" w:hAnsi="Times New Roman" w:cs="Times New Roman"/>
          <w:i/>
        </w:rPr>
        <w:t>MIE Konferencia</w:t>
      </w:r>
      <w:r w:rsidRPr="00753F46">
        <w:rPr>
          <w:rFonts w:ascii="Times New Roman" w:hAnsi="Times New Roman" w:cs="Times New Roman"/>
        </w:rPr>
        <w:t xml:space="preserve">, 2018. május 10-11. Elérhető: </w:t>
      </w:r>
      <w:hyperlink r:id="rId9" w:history="1">
        <w:r w:rsidRPr="00753F46">
          <w:rPr>
            <w:rStyle w:val="Hiperhivatkozs"/>
            <w:rFonts w:ascii="Times New Roman" w:hAnsi="Times New Roman" w:cs="Times New Roman"/>
          </w:rPr>
          <w:t>http://www.mie.org.hu/eloadasok_2018/tavaszi_konf/RichterSPCpanelMIE_2018_05_11.pdf</w:t>
        </w:r>
      </w:hyperlink>
      <w:r w:rsidRPr="00753F46">
        <w:rPr>
          <w:rFonts w:ascii="Times New Roman" w:hAnsi="Times New Roman" w:cs="Times New Roman"/>
        </w:rPr>
        <w:t>.</w:t>
      </w:r>
    </w:p>
  </w:footnote>
  <w:footnote w:id="27">
    <w:p w14:paraId="536D0773" w14:textId="508BFDE7" w:rsidR="00AA700B" w:rsidRPr="009B2064" w:rsidRDefault="00AA700B" w:rsidP="009B2064">
      <w:pPr>
        <w:pStyle w:val="Lbjegyzetszveg"/>
        <w:jc w:val="both"/>
        <w:rPr>
          <w:rFonts w:ascii="Times New Roman" w:hAnsi="Times New Roman" w:cs="Times New Roman"/>
        </w:rPr>
      </w:pPr>
      <w:r w:rsidRPr="009B2064">
        <w:rPr>
          <w:rStyle w:val="Lbjegyzet-hivatkozs"/>
          <w:rFonts w:ascii="Times New Roman" w:hAnsi="Times New Roman" w:cs="Times New Roman"/>
        </w:rPr>
        <w:footnoteRef/>
      </w:r>
      <w:r w:rsidRPr="009B2064">
        <w:rPr>
          <w:rFonts w:ascii="Times New Roman" w:hAnsi="Times New Roman" w:cs="Times New Roman"/>
        </w:rPr>
        <w:t xml:space="preserve"> </w:t>
      </w:r>
      <w:r w:rsidR="00276AE1" w:rsidRPr="009B2064">
        <w:rPr>
          <w:rFonts w:ascii="Times New Roman" w:hAnsi="Times New Roman" w:cs="Times New Roman"/>
        </w:rPr>
        <w:t>A</w:t>
      </w:r>
      <w:r w:rsidRPr="009B2064">
        <w:rPr>
          <w:rFonts w:ascii="Times New Roman" w:hAnsi="Times New Roman" w:cs="Times New Roman"/>
        </w:rPr>
        <w:t xml:space="preserve"> </w:t>
      </w:r>
      <w:r w:rsidR="003F29F5" w:rsidRPr="009B2064">
        <w:rPr>
          <w:rFonts w:ascii="Times New Roman" w:hAnsi="Times New Roman" w:cs="Times New Roman"/>
        </w:rPr>
        <w:t>c</w:t>
      </w:r>
      <w:r w:rsidRPr="009B2064">
        <w:rPr>
          <w:rFonts w:ascii="Times New Roman" w:hAnsi="Times New Roman" w:cs="Times New Roman"/>
        </w:rPr>
        <w:t xml:space="preserve">selekvési terv elérhető: </w:t>
      </w:r>
      <w:hyperlink r:id="rId10" w:history="1">
        <w:r w:rsidRPr="009B2064">
          <w:rPr>
            <w:rStyle w:val="Hiperhivatkozs"/>
            <w:rFonts w:ascii="Times New Roman" w:hAnsi="Times New Roman" w:cs="Times New Roman"/>
          </w:rPr>
          <w:t>https://ec.europa.eu/growth/industry/policy/intellectual-property_en</w:t>
        </w:r>
      </w:hyperlink>
      <w:r w:rsidR="003F29F5">
        <w:rPr>
          <w:rStyle w:val="Hiperhivatkozs"/>
          <w:rFonts w:ascii="Times New Roman" w:hAnsi="Times New Roman" w:cs="Times New Roman"/>
        </w:rPr>
        <w:t>.</w:t>
      </w:r>
      <w:r w:rsidR="003F29F5">
        <w:rPr>
          <w:rFonts w:ascii="Times New Roman" w:hAnsi="Times New Roman" w:cs="Times New Roman"/>
        </w:rPr>
        <w:t xml:space="preserve"> </w:t>
      </w:r>
      <w:r w:rsidRPr="009B2064">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D76CC" w14:textId="77777777" w:rsidR="00FA4B92" w:rsidRPr="00233674" w:rsidRDefault="00FA4B92" w:rsidP="00646EAC">
    <w:pPr>
      <w:pStyle w:val="lfej"/>
      <w:jc w:val="center"/>
      <w:rPr>
        <w:rFonts w:ascii="Times New Roman" w:hAnsi="Times New Roman" w:cs="Times New Roman"/>
        <w:sz w:val="20"/>
      </w:rPr>
    </w:pPr>
    <w:r w:rsidRPr="00233674">
      <w:rPr>
        <w:rFonts w:ascii="Times New Roman" w:hAnsi="Times New Roman" w:cs="Times New Roman"/>
        <w:sz w:val="20"/>
      </w:rPr>
      <w:t>A vitaanyagot a Kormány nem tárgyalta meg, ezért az nem tekinthető a Kormány álláspontjának.</w:t>
    </w:r>
  </w:p>
  <w:p w14:paraId="189CAA4F" w14:textId="77777777" w:rsidR="00FA4B92" w:rsidRPr="00646EAC" w:rsidRDefault="00FA4B92" w:rsidP="00646EAC">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34A5F02"/>
    <w:multiLevelType w:val="hybridMultilevel"/>
    <w:tmpl w:val="1976A23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D1D01"/>
    <w:multiLevelType w:val="hybridMultilevel"/>
    <w:tmpl w:val="C80C10C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088C1B10"/>
    <w:multiLevelType w:val="hybridMultilevel"/>
    <w:tmpl w:val="E29C0AC8"/>
    <w:lvl w:ilvl="0" w:tplc="0CEAEB68">
      <w:start w:val="1"/>
      <w:numFmt w:val="decimal"/>
      <w:lvlText w:val="%1."/>
      <w:lvlJc w:val="left"/>
      <w:pPr>
        <w:ind w:left="360" w:hanging="360"/>
      </w:pPr>
      <w:rPr>
        <w:b w:val="0"/>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97C0E49"/>
    <w:multiLevelType w:val="hybridMultilevel"/>
    <w:tmpl w:val="77F0AD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B91AE2"/>
    <w:multiLevelType w:val="multilevel"/>
    <w:tmpl w:val="1AC41E6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F63811"/>
    <w:multiLevelType w:val="hybridMultilevel"/>
    <w:tmpl w:val="6B4E2FE0"/>
    <w:lvl w:ilvl="0" w:tplc="040E0001">
      <w:start w:val="1"/>
      <w:numFmt w:val="bullet"/>
      <w:lvlText w:val=""/>
      <w:lvlJc w:val="left"/>
      <w:pPr>
        <w:ind w:left="774" w:hanging="360"/>
      </w:pPr>
      <w:rPr>
        <w:rFonts w:ascii="Symbol" w:hAnsi="Symbol" w:hint="default"/>
      </w:rPr>
    </w:lvl>
    <w:lvl w:ilvl="1" w:tplc="040E0003" w:tentative="1">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6" w15:restartNumberingAfterBreak="0">
    <w:nsid w:val="132C319C"/>
    <w:multiLevelType w:val="hybridMultilevel"/>
    <w:tmpl w:val="CF02F47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6637C5"/>
    <w:multiLevelType w:val="hybridMultilevel"/>
    <w:tmpl w:val="0F743F90"/>
    <w:lvl w:ilvl="0" w:tplc="DD4EAF88">
      <w:start w:val="3"/>
      <w:numFmt w:val="bullet"/>
      <w:lvlText w:val="-"/>
      <w:lvlJc w:val="left"/>
      <w:pPr>
        <w:ind w:left="720" w:hanging="360"/>
      </w:pPr>
      <w:rPr>
        <w:rFonts w:ascii="Times New Roman" w:eastAsiaTheme="minorHAns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6A4174F"/>
    <w:multiLevelType w:val="hybridMultilevel"/>
    <w:tmpl w:val="8F7027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6F70599"/>
    <w:multiLevelType w:val="multilevel"/>
    <w:tmpl w:val="39D4D510"/>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ED4386C"/>
    <w:multiLevelType w:val="hybridMultilevel"/>
    <w:tmpl w:val="82F4477E"/>
    <w:lvl w:ilvl="0" w:tplc="3488CDF4">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F895034"/>
    <w:multiLevelType w:val="hybridMultilevel"/>
    <w:tmpl w:val="38C693E2"/>
    <w:lvl w:ilvl="0" w:tplc="320A03C0">
      <w:start w:val="1"/>
      <w:numFmt w:val="lowerLetter"/>
      <w:lvlText w:val="%1)"/>
      <w:lvlJc w:val="left"/>
      <w:pPr>
        <w:ind w:left="1364" w:hanging="360"/>
      </w:pPr>
      <w:rPr>
        <w:rFonts w:hint="default"/>
      </w:rPr>
    </w:lvl>
    <w:lvl w:ilvl="1" w:tplc="040E0019" w:tentative="1">
      <w:start w:val="1"/>
      <w:numFmt w:val="lowerLetter"/>
      <w:lvlText w:val="%2."/>
      <w:lvlJc w:val="left"/>
      <w:pPr>
        <w:ind w:left="2084" w:hanging="360"/>
      </w:pPr>
    </w:lvl>
    <w:lvl w:ilvl="2" w:tplc="040E001B" w:tentative="1">
      <w:start w:val="1"/>
      <w:numFmt w:val="lowerRoman"/>
      <w:lvlText w:val="%3."/>
      <w:lvlJc w:val="right"/>
      <w:pPr>
        <w:ind w:left="2804" w:hanging="180"/>
      </w:pPr>
    </w:lvl>
    <w:lvl w:ilvl="3" w:tplc="040E000F" w:tentative="1">
      <w:start w:val="1"/>
      <w:numFmt w:val="decimal"/>
      <w:lvlText w:val="%4."/>
      <w:lvlJc w:val="left"/>
      <w:pPr>
        <w:ind w:left="3524" w:hanging="360"/>
      </w:pPr>
    </w:lvl>
    <w:lvl w:ilvl="4" w:tplc="040E0019" w:tentative="1">
      <w:start w:val="1"/>
      <w:numFmt w:val="lowerLetter"/>
      <w:lvlText w:val="%5."/>
      <w:lvlJc w:val="left"/>
      <w:pPr>
        <w:ind w:left="4244" w:hanging="360"/>
      </w:pPr>
    </w:lvl>
    <w:lvl w:ilvl="5" w:tplc="040E001B" w:tentative="1">
      <w:start w:val="1"/>
      <w:numFmt w:val="lowerRoman"/>
      <w:lvlText w:val="%6."/>
      <w:lvlJc w:val="right"/>
      <w:pPr>
        <w:ind w:left="4964" w:hanging="180"/>
      </w:pPr>
    </w:lvl>
    <w:lvl w:ilvl="6" w:tplc="040E000F" w:tentative="1">
      <w:start w:val="1"/>
      <w:numFmt w:val="decimal"/>
      <w:lvlText w:val="%7."/>
      <w:lvlJc w:val="left"/>
      <w:pPr>
        <w:ind w:left="5684" w:hanging="360"/>
      </w:pPr>
    </w:lvl>
    <w:lvl w:ilvl="7" w:tplc="040E0019" w:tentative="1">
      <w:start w:val="1"/>
      <w:numFmt w:val="lowerLetter"/>
      <w:lvlText w:val="%8."/>
      <w:lvlJc w:val="left"/>
      <w:pPr>
        <w:ind w:left="6404" w:hanging="360"/>
      </w:pPr>
    </w:lvl>
    <w:lvl w:ilvl="8" w:tplc="040E001B" w:tentative="1">
      <w:start w:val="1"/>
      <w:numFmt w:val="lowerRoman"/>
      <w:lvlText w:val="%9."/>
      <w:lvlJc w:val="right"/>
      <w:pPr>
        <w:ind w:left="7124" w:hanging="180"/>
      </w:pPr>
    </w:lvl>
  </w:abstractNum>
  <w:abstractNum w:abstractNumId="12" w15:restartNumberingAfterBreak="0">
    <w:nsid w:val="2FE5208C"/>
    <w:multiLevelType w:val="hybridMultilevel"/>
    <w:tmpl w:val="9F4A61C4"/>
    <w:lvl w:ilvl="0" w:tplc="0046EBE4">
      <w:start w:val="1"/>
      <w:numFmt w:val="upperLetter"/>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3" w15:restartNumberingAfterBreak="0">
    <w:nsid w:val="32F935A5"/>
    <w:multiLevelType w:val="multilevel"/>
    <w:tmpl w:val="5A92E9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511212"/>
    <w:multiLevelType w:val="hybridMultilevel"/>
    <w:tmpl w:val="752E042E"/>
    <w:lvl w:ilvl="0" w:tplc="A156E9C2">
      <w:start w:val="1"/>
      <w:numFmt w:val="low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 w15:restartNumberingAfterBreak="0">
    <w:nsid w:val="3CB107D0"/>
    <w:multiLevelType w:val="hybridMultilevel"/>
    <w:tmpl w:val="E35E0C5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3D63DDF"/>
    <w:multiLevelType w:val="hybridMultilevel"/>
    <w:tmpl w:val="6B30B000"/>
    <w:lvl w:ilvl="0" w:tplc="8DE85EE0">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469A5353"/>
    <w:multiLevelType w:val="hybridMultilevel"/>
    <w:tmpl w:val="99F48A18"/>
    <w:lvl w:ilvl="0" w:tplc="ADC29102">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9766A01"/>
    <w:multiLevelType w:val="hybridMultilevel"/>
    <w:tmpl w:val="38C693E2"/>
    <w:lvl w:ilvl="0" w:tplc="320A03C0">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9" w15:restartNumberingAfterBreak="0">
    <w:nsid w:val="4BE84696"/>
    <w:multiLevelType w:val="hybridMultilevel"/>
    <w:tmpl w:val="38C693E2"/>
    <w:lvl w:ilvl="0" w:tplc="320A03C0">
      <w:start w:val="1"/>
      <w:numFmt w:val="lowerLetter"/>
      <w:lvlText w:val="%1)"/>
      <w:lvlJc w:val="left"/>
      <w:pPr>
        <w:ind w:left="1364" w:hanging="360"/>
      </w:pPr>
      <w:rPr>
        <w:rFonts w:hint="default"/>
      </w:rPr>
    </w:lvl>
    <w:lvl w:ilvl="1" w:tplc="040E0019" w:tentative="1">
      <w:start w:val="1"/>
      <w:numFmt w:val="lowerLetter"/>
      <w:lvlText w:val="%2."/>
      <w:lvlJc w:val="left"/>
      <w:pPr>
        <w:ind w:left="2084" w:hanging="360"/>
      </w:pPr>
    </w:lvl>
    <w:lvl w:ilvl="2" w:tplc="040E001B" w:tentative="1">
      <w:start w:val="1"/>
      <w:numFmt w:val="lowerRoman"/>
      <w:lvlText w:val="%3."/>
      <w:lvlJc w:val="right"/>
      <w:pPr>
        <w:ind w:left="2804" w:hanging="180"/>
      </w:pPr>
    </w:lvl>
    <w:lvl w:ilvl="3" w:tplc="040E000F" w:tentative="1">
      <w:start w:val="1"/>
      <w:numFmt w:val="decimal"/>
      <w:lvlText w:val="%4."/>
      <w:lvlJc w:val="left"/>
      <w:pPr>
        <w:ind w:left="3524" w:hanging="360"/>
      </w:pPr>
    </w:lvl>
    <w:lvl w:ilvl="4" w:tplc="040E0019" w:tentative="1">
      <w:start w:val="1"/>
      <w:numFmt w:val="lowerLetter"/>
      <w:lvlText w:val="%5."/>
      <w:lvlJc w:val="left"/>
      <w:pPr>
        <w:ind w:left="4244" w:hanging="360"/>
      </w:pPr>
    </w:lvl>
    <w:lvl w:ilvl="5" w:tplc="040E001B" w:tentative="1">
      <w:start w:val="1"/>
      <w:numFmt w:val="lowerRoman"/>
      <w:lvlText w:val="%6."/>
      <w:lvlJc w:val="right"/>
      <w:pPr>
        <w:ind w:left="4964" w:hanging="180"/>
      </w:pPr>
    </w:lvl>
    <w:lvl w:ilvl="6" w:tplc="040E000F" w:tentative="1">
      <w:start w:val="1"/>
      <w:numFmt w:val="decimal"/>
      <w:lvlText w:val="%7."/>
      <w:lvlJc w:val="left"/>
      <w:pPr>
        <w:ind w:left="5684" w:hanging="360"/>
      </w:pPr>
    </w:lvl>
    <w:lvl w:ilvl="7" w:tplc="040E0019" w:tentative="1">
      <w:start w:val="1"/>
      <w:numFmt w:val="lowerLetter"/>
      <w:lvlText w:val="%8."/>
      <w:lvlJc w:val="left"/>
      <w:pPr>
        <w:ind w:left="6404" w:hanging="360"/>
      </w:pPr>
    </w:lvl>
    <w:lvl w:ilvl="8" w:tplc="040E001B" w:tentative="1">
      <w:start w:val="1"/>
      <w:numFmt w:val="lowerRoman"/>
      <w:lvlText w:val="%9."/>
      <w:lvlJc w:val="right"/>
      <w:pPr>
        <w:ind w:left="7124" w:hanging="180"/>
      </w:pPr>
    </w:lvl>
  </w:abstractNum>
  <w:abstractNum w:abstractNumId="20" w15:restartNumberingAfterBreak="0">
    <w:nsid w:val="55347475"/>
    <w:multiLevelType w:val="hybridMultilevel"/>
    <w:tmpl w:val="8A020664"/>
    <w:lvl w:ilvl="0" w:tplc="15688A3E">
      <w:start w:val="1"/>
      <w:numFmt w:val="decimal"/>
      <w:lvlText w:val="%1."/>
      <w:lvlJc w:val="left"/>
      <w:pPr>
        <w:ind w:left="360" w:hanging="360"/>
      </w:pPr>
      <w:rPr>
        <w:rFonts w:hint="default"/>
        <w:b w:val="0"/>
        <w:bCs/>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C6550B5"/>
    <w:multiLevelType w:val="hybridMultilevel"/>
    <w:tmpl w:val="38C693E2"/>
    <w:lvl w:ilvl="0" w:tplc="320A03C0">
      <w:start w:val="1"/>
      <w:numFmt w:val="lowerLetter"/>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61CD4A85"/>
    <w:multiLevelType w:val="hybridMultilevel"/>
    <w:tmpl w:val="11BC9D72"/>
    <w:lvl w:ilvl="0" w:tplc="746825A6">
      <w:start w:val="3"/>
      <w:numFmt w:val="bullet"/>
      <w:lvlText w:val="-"/>
      <w:lvlJc w:val="left"/>
      <w:pPr>
        <w:ind w:left="480" w:hanging="360"/>
      </w:pPr>
      <w:rPr>
        <w:rFonts w:ascii="Times New Roman" w:eastAsiaTheme="minorHAnsi" w:hAnsi="Times New Roman" w:cs="Times New Roman" w:hint="default"/>
        <w:b/>
      </w:rPr>
    </w:lvl>
    <w:lvl w:ilvl="1" w:tplc="E0B87ADA">
      <w:start w:val="1"/>
      <w:numFmt w:val="bullet"/>
      <w:lvlText w:val="-"/>
      <w:lvlJc w:val="left"/>
      <w:pPr>
        <w:ind w:left="1200" w:hanging="360"/>
      </w:pPr>
      <w:rPr>
        <w:rFonts w:ascii="Courier New" w:hAnsi="Courier New" w:hint="default"/>
      </w:rPr>
    </w:lvl>
    <w:lvl w:ilvl="2" w:tplc="040E0005" w:tentative="1">
      <w:start w:val="1"/>
      <w:numFmt w:val="bullet"/>
      <w:lvlText w:val=""/>
      <w:lvlJc w:val="left"/>
      <w:pPr>
        <w:ind w:left="1920" w:hanging="360"/>
      </w:pPr>
      <w:rPr>
        <w:rFonts w:ascii="Wingdings" w:hAnsi="Wingdings" w:hint="default"/>
      </w:rPr>
    </w:lvl>
    <w:lvl w:ilvl="3" w:tplc="040E0001" w:tentative="1">
      <w:start w:val="1"/>
      <w:numFmt w:val="bullet"/>
      <w:lvlText w:val=""/>
      <w:lvlJc w:val="left"/>
      <w:pPr>
        <w:ind w:left="2640" w:hanging="360"/>
      </w:pPr>
      <w:rPr>
        <w:rFonts w:ascii="Symbol" w:hAnsi="Symbol" w:hint="default"/>
      </w:rPr>
    </w:lvl>
    <w:lvl w:ilvl="4" w:tplc="040E0003" w:tentative="1">
      <w:start w:val="1"/>
      <w:numFmt w:val="bullet"/>
      <w:lvlText w:val="o"/>
      <w:lvlJc w:val="left"/>
      <w:pPr>
        <w:ind w:left="3360" w:hanging="360"/>
      </w:pPr>
      <w:rPr>
        <w:rFonts w:ascii="Courier New" w:hAnsi="Courier New" w:cs="Courier New" w:hint="default"/>
      </w:rPr>
    </w:lvl>
    <w:lvl w:ilvl="5" w:tplc="040E0005" w:tentative="1">
      <w:start w:val="1"/>
      <w:numFmt w:val="bullet"/>
      <w:lvlText w:val=""/>
      <w:lvlJc w:val="left"/>
      <w:pPr>
        <w:ind w:left="4080" w:hanging="360"/>
      </w:pPr>
      <w:rPr>
        <w:rFonts w:ascii="Wingdings" w:hAnsi="Wingdings" w:hint="default"/>
      </w:rPr>
    </w:lvl>
    <w:lvl w:ilvl="6" w:tplc="040E0001" w:tentative="1">
      <w:start w:val="1"/>
      <w:numFmt w:val="bullet"/>
      <w:lvlText w:val=""/>
      <w:lvlJc w:val="left"/>
      <w:pPr>
        <w:ind w:left="4800" w:hanging="360"/>
      </w:pPr>
      <w:rPr>
        <w:rFonts w:ascii="Symbol" w:hAnsi="Symbol" w:hint="default"/>
      </w:rPr>
    </w:lvl>
    <w:lvl w:ilvl="7" w:tplc="040E0003" w:tentative="1">
      <w:start w:val="1"/>
      <w:numFmt w:val="bullet"/>
      <w:lvlText w:val="o"/>
      <w:lvlJc w:val="left"/>
      <w:pPr>
        <w:ind w:left="5520" w:hanging="360"/>
      </w:pPr>
      <w:rPr>
        <w:rFonts w:ascii="Courier New" w:hAnsi="Courier New" w:cs="Courier New" w:hint="default"/>
      </w:rPr>
    </w:lvl>
    <w:lvl w:ilvl="8" w:tplc="040E0005" w:tentative="1">
      <w:start w:val="1"/>
      <w:numFmt w:val="bullet"/>
      <w:lvlText w:val=""/>
      <w:lvlJc w:val="left"/>
      <w:pPr>
        <w:ind w:left="6240" w:hanging="360"/>
      </w:pPr>
      <w:rPr>
        <w:rFonts w:ascii="Wingdings" w:hAnsi="Wingdings" w:hint="default"/>
      </w:rPr>
    </w:lvl>
  </w:abstractNum>
  <w:abstractNum w:abstractNumId="23" w15:restartNumberingAfterBreak="0">
    <w:nsid w:val="685139FD"/>
    <w:multiLevelType w:val="hybridMultilevel"/>
    <w:tmpl w:val="59FCA738"/>
    <w:lvl w:ilvl="0" w:tplc="34EC920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ECA1700"/>
    <w:multiLevelType w:val="hybridMultilevel"/>
    <w:tmpl w:val="27148992"/>
    <w:lvl w:ilvl="0" w:tplc="D6B2FA8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720E5A0C"/>
    <w:multiLevelType w:val="hybridMultilevel"/>
    <w:tmpl w:val="36B2DC08"/>
    <w:lvl w:ilvl="0" w:tplc="8306E044">
      <w:start w:val="1"/>
      <w:numFmt w:val="bullet"/>
      <w:lvlText w:val="-"/>
      <w:lvlJc w:val="left"/>
      <w:pPr>
        <w:ind w:left="420" w:hanging="360"/>
      </w:pPr>
      <w:rPr>
        <w:rFonts w:ascii="Times New Roman" w:eastAsiaTheme="minorHAnsi"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6" w15:restartNumberingAfterBreak="0">
    <w:nsid w:val="72FE4F2C"/>
    <w:multiLevelType w:val="hybridMultilevel"/>
    <w:tmpl w:val="450C4ACE"/>
    <w:lvl w:ilvl="0" w:tplc="3C6441BC">
      <w:start w:val="2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3361EA0"/>
    <w:multiLevelType w:val="multilevel"/>
    <w:tmpl w:val="585AEDB6"/>
    <w:lvl w:ilvl="0">
      <w:start w:val="1"/>
      <w:numFmt w:val="decimal"/>
      <w:lvlText w:val="%1."/>
      <w:lvlJc w:val="left"/>
      <w:pPr>
        <w:ind w:left="360"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8" w15:restartNumberingAfterBreak="0">
    <w:nsid w:val="7F1B0B39"/>
    <w:multiLevelType w:val="hybridMultilevel"/>
    <w:tmpl w:val="30CC4DAE"/>
    <w:lvl w:ilvl="0" w:tplc="746825A6">
      <w:start w:val="3"/>
      <w:numFmt w:val="bullet"/>
      <w:lvlText w:val="-"/>
      <w:lvlJc w:val="left"/>
      <w:pPr>
        <w:ind w:left="480" w:hanging="360"/>
      </w:pPr>
      <w:rPr>
        <w:rFonts w:ascii="Times New Roman" w:eastAsiaTheme="minorHAnsi" w:hAnsi="Times New Roman" w:cs="Times New Roman" w:hint="default"/>
        <w:b/>
      </w:rPr>
    </w:lvl>
    <w:lvl w:ilvl="1" w:tplc="040E0003">
      <w:start w:val="1"/>
      <w:numFmt w:val="bullet"/>
      <w:lvlText w:val="o"/>
      <w:lvlJc w:val="left"/>
      <w:pPr>
        <w:ind w:left="1200" w:hanging="360"/>
      </w:pPr>
      <w:rPr>
        <w:rFonts w:ascii="Courier New" w:hAnsi="Courier New" w:cs="Courier New" w:hint="default"/>
      </w:rPr>
    </w:lvl>
    <w:lvl w:ilvl="2" w:tplc="040E0005" w:tentative="1">
      <w:start w:val="1"/>
      <w:numFmt w:val="bullet"/>
      <w:lvlText w:val=""/>
      <w:lvlJc w:val="left"/>
      <w:pPr>
        <w:ind w:left="1920" w:hanging="360"/>
      </w:pPr>
      <w:rPr>
        <w:rFonts w:ascii="Wingdings" w:hAnsi="Wingdings" w:hint="default"/>
      </w:rPr>
    </w:lvl>
    <w:lvl w:ilvl="3" w:tplc="040E0001" w:tentative="1">
      <w:start w:val="1"/>
      <w:numFmt w:val="bullet"/>
      <w:lvlText w:val=""/>
      <w:lvlJc w:val="left"/>
      <w:pPr>
        <w:ind w:left="2640" w:hanging="360"/>
      </w:pPr>
      <w:rPr>
        <w:rFonts w:ascii="Symbol" w:hAnsi="Symbol" w:hint="default"/>
      </w:rPr>
    </w:lvl>
    <w:lvl w:ilvl="4" w:tplc="040E0003" w:tentative="1">
      <w:start w:val="1"/>
      <w:numFmt w:val="bullet"/>
      <w:lvlText w:val="o"/>
      <w:lvlJc w:val="left"/>
      <w:pPr>
        <w:ind w:left="3360" w:hanging="360"/>
      </w:pPr>
      <w:rPr>
        <w:rFonts w:ascii="Courier New" w:hAnsi="Courier New" w:cs="Courier New" w:hint="default"/>
      </w:rPr>
    </w:lvl>
    <w:lvl w:ilvl="5" w:tplc="040E0005" w:tentative="1">
      <w:start w:val="1"/>
      <w:numFmt w:val="bullet"/>
      <w:lvlText w:val=""/>
      <w:lvlJc w:val="left"/>
      <w:pPr>
        <w:ind w:left="4080" w:hanging="360"/>
      </w:pPr>
      <w:rPr>
        <w:rFonts w:ascii="Wingdings" w:hAnsi="Wingdings" w:hint="default"/>
      </w:rPr>
    </w:lvl>
    <w:lvl w:ilvl="6" w:tplc="040E0001" w:tentative="1">
      <w:start w:val="1"/>
      <w:numFmt w:val="bullet"/>
      <w:lvlText w:val=""/>
      <w:lvlJc w:val="left"/>
      <w:pPr>
        <w:ind w:left="4800" w:hanging="360"/>
      </w:pPr>
      <w:rPr>
        <w:rFonts w:ascii="Symbol" w:hAnsi="Symbol" w:hint="default"/>
      </w:rPr>
    </w:lvl>
    <w:lvl w:ilvl="7" w:tplc="040E0003" w:tentative="1">
      <w:start w:val="1"/>
      <w:numFmt w:val="bullet"/>
      <w:lvlText w:val="o"/>
      <w:lvlJc w:val="left"/>
      <w:pPr>
        <w:ind w:left="5520" w:hanging="360"/>
      </w:pPr>
      <w:rPr>
        <w:rFonts w:ascii="Courier New" w:hAnsi="Courier New" w:cs="Courier New" w:hint="default"/>
      </w:rPr>
    </w:lvl>
    <w:lvl w:ilvl="8" w:tplc="040E0005" w:tentative="1">
      <w:start w:val="1"/>
      <w:numFmt w:val="bullet"/>
      <w:lvlText w:val=""/>
      <w:lvlJc w:val="left"/>
      <w:pPr>
        <w:ind w:left="6240" w:hanging="360"/>
      </w:pPr>
      <w:rPr>
        <w:rFonts w:ascii="Wingdings" w:hAnsi="Wingdings" w:hint="default"/>
      </w:rPr>
    </w:lvl>
  </w:abstractNum>
  <w:num w:numId="1">
    <w:abstractNumId w:val="24"/>
  </w:num>
  <w:num w:numId="2">
    <w:abstractNumId w:val="23"/>
  </w:num>
  <w:num w:numId="3">
    <w:abstractNumId w:val="17"/>
  </w:num>
  <w:num w:numId="4">
    <w:abstractNumId w:val="27"/>
  </w:num>
  <w:num w:numId="5">
    <w:abstractNumId w:val="20"/>
  </w:num>
  <w:num w:numId="6">
    <w:abstractNumId w:val="2"/>
  </w:num>
  <w:num w:numId="7">
    <w:abstractNumId w:val="12"/>
  </w:num>
  <w:num w:numId="8">
    <w:abstractNumId w:val="21"/>
  </w:num>
  <w:num w:numId="9">
    <w:abstractNumId w:val="11"/>
  </w:num>
  <w:num w:numId="10">
    <w:abstractNumId w:val="19"/>
  </w:num>
  <w:num w:numId="11">
    <w:abstractNumId w:val="18"/>
  </w:num>
  <w:num w:numId="12">
    <w:abstractNumId w:val="1"/>
  </w:num>
  <w:num w:numId="13">
    <w:abstractNumId w:val="13"/>
  </w:num>
  <w:num w:numId="14">
    <w:abstractNumId w:val="4"/>
  </w:num>
  <w:num w:numId="15">
    <w:abstractNumId w:val="9"/>
  </w:num>
  <w:num w:numId="16">
    <w:abstractNumId w:val="5"/>
  </w:num>
  <w:num w:numId="17">
    <w:abstractNumId w:val="7"/>
  </w:num>
  <w:num w:numId="18">
    <w:abstractNumId w:val="16"/>
  </w:num>
  <w:num w:numId="19">
    <w:abstractNumId w:val="3"/>
  </w:num>
  <w:num w:numId="20">
    <w:abstractNumId w:val="15"/>
  </w:num>
  <w:num w:numId="21">
    <w:abstractNumId w:val="8"/>
  </w:num>
  <w:num w:numId="22">
    <w:abstractNumId w:val="6"/>
  </w:num>
  <w:num w:numId="23">
    <w:abstractNumId w:val="26"/>
  </w:num>
  <w:num w:numId="24">
    <w:abstractNumId w:val="28"/>
  </w:num>
  <w:num w:numId="25">
    <w:abstractNumId w:val="10"/>
  </w:num>
  <w:num w:numId="26">
    <w:abstractNumId w:val="14"/>
  </w:num>
  <w:num w:numId="27">
    <w:abstractNumId w:val="0"/>
  </w:num>
  <w:num w:numId="28">
    <w:abstractNumId w:val="25"/>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36"/>
    <w:rsid w:val="0000103D"/>
    <w:rsid w:val="00001119"/>
    <w:rsid w:val="00015AA6"/>
    <w:rsid w:val="0002342D"/>
    <w:rsid w:val="0003089F"/>
    <w:rsid w:val="00032C9B"/>
    <w:rsid w:val="00033C11"/>
    <w:rsid w:val="000415C1"/>
    <w:rsid w:val="00044382"/>
    <w:rsid w:val="00053E02"/>
    <w:rsid w:val="00086855"/>
    <w:rsid w:val="00091DD6"/>
    <w:rsid w:val="00094C2B"/>
    <w:rsid w:val="000A5387"/>
    <w:rsid w:val="000A5517"/>
    <w:rsid w:val="000B0366"/>
    <w:rsid w:val="000B38CB"/>
    <w:rsid w:val="000B47E8"/>
    <w:rsid w:val="000B4ED0"/>
    <w:rsid w:val="000C5DC6"/>
    <w:rsid w:val="000C7F47"/>
    <w:rsid w:val="000D248E"/>
    <w:rsid w:val="000E3580"/>
    <w:rsid w:val="0010455A"/>
    <w:rsid w:val="00116CF5"/>
    <w:rsid w:val="00117AA5"/>
    <w:rsid w:val="00120D65"/>
    <w:rsid w:val="00121927"/>
    <w:rsid w:val="00127C2E"/>
    <w:rsid w:val="00130D6B"/>
    <w:rsid w:val="00147CEB"/>
    <w:rsid w:val="0016075D"/>
    <w:rsid w:val="00162893"/>
    <w:rsid w:val="001757E3"/>
    <w:rsid w:val="00177766"/>
    <w:rsid w:val="00184BA7"/>
    <w:rsid w:val="0018714B"/>
    <w:rsid w:val="00194ECF"/>
    <w:rsid w:val="00196272"/>
    <w:rsid w:val="001A1665"/>
    <w:rsid w:val="001B32BE"/>
    <w:rsid w:val="001C68E1"/>
    <w:rsid w:val="001D7B52"/>
    <w:rsid w:val="001E603A"/>
    <w:rsid w:val="001F6FBA"/>
    <w:rsid w:val="00202E1D"/>
    <w:rsid w:val="00206F9F"/>
    <w:rsid w:val="0022068D"/>
    <w:rsid w:val="0022147B"/>
    <w:rsid w:val="00224E64"/>
    <w:rsid w:val="00235DBE"/>
    <w:rsid w:val="00236FB6"/>
    <w:rsid w:val="00237525"/>
    <w:rsid w:val="002403DB"/>
    <w:rsid w:val="00241345"/>
    <w:rsid w:val="00255527"/>
    <w:rsid w:val="00260306"/>
    <w:rsid w:val="00265EA9"/>
    <w:rsid w:val="00267167"/>
    <w:rsid w:val="002728E5"/>
    <w:rsid w:val="00276AE1"/>
    <w:rsid w:val="002830CD"/>
    <w:rsid w:val="00283C63"/>
    <w:rsid w:val="00286B17"/>
    <w:rsid w:val="00290FC5"/>
    <w:rsid w:val="00297B75"/>
    <w:rsid w:val="002A08E8"/>
    <w:rsid w:val="002B1C5A"/>
    <w:rsid w:val="002B2685"/>
    <w:rsid w:val="002C3D21"/>
    <w:rsid w:val="002C4436"/>
    <w:rsid w:val="002E2232"/>
    <w:rsid w:val="002F253E"/>
    <w:rsid w:val="002F2D04"/>
    <w:rsid w:val="002F5481"/>
    <w:rsid w:val="003019DB"/>
    <w:rsid w:val="003052F9"/>
    <w:rsid w:val="00331467"/>
    <w:rsid w:val="00346BC2"/>
    <w:rsid w:val="00362DE2"/>
    <w:rsid w:val="003663AE"/>
    <w:rsid w:val="003730EB"/>
    <w:rsid w:val="00374E99"/>
    <w:rsid w:val="0038338B"/>
    <w:rsid w:val="00384607"/>
    <w:rsid w:val="003851E1"/>
    <w:rsid w:val="00392BB2"/>
    <w:rsid w:val="003935DF"/>
    <w:rsid w:val="003A3AE2"/>
    <w:rsid w:val="003B1B50"/>
    <w:rsid w:val="003B5BAD"/>
    <w:rsid w:val="003C2443"/>
    <w:rsid w:val="003C6977"/>
    <w:rsid w:val="003D1E16"/>
    <w:rsid w:val="003D7B9E"/>
    <w:rsid w:val="003E44E7"/>
    <w:rsid w:val="003E5041"/>
    <w:rsid w:val="003E5962"/>
    <w:rsid w:val="003E72AC"/>
    <w:rsid w:val="003F2309"/>
    <w:rsid w:val="003F29F5"/>
    <w:rsid w:val="00410848"/>
    <w:rsid w:val="0042171C"/>
    <w:rsid w:val="0042600A"/>
    <w:rsid w:val="00452E28"/>
    <w:rsid w:val="00454D12"/>
    <w:rsid w:val="0045550D"/>
    <w:rsid w:val="00455E5E"/>
    <w:rsid w:val="00464167"/>
    <w:rsid w:val="00466471"/>
    <w:rsid w:val="00473F31"/>
    <w:rsid w:val="00486D03"/>
    <w:rsid w:val="0049597C"/>
    <w:rsid w:val="004A0F12"/>
    <w:rsid w:val="004B0AC7"/>
    <w:rsid w:val="004B6784"/>
    <w:rsid w:val="004C1344"/>
    <w:rsid w:val="004D3D5F"/>
    <w:rsid w:val="004D6B1B"/>
    <w:rsid w:val="004E4A85"/>
    <w:rsid w:val="004F0796"/>
    <w:rsid w:val="004F37ED"/>
    <w:rsid w:val="004F4A0B"/>
    <w:rsid w:val="004F6B20"/>
    <w:rsid w:val="005061DC"/>
    <w:rsid w:val="00507697"/>
    <w:rsid w:val="00507F93"/>
    <w:rsid w:val="00512DFC"/>
    <w:rsid w:val="0052048D"/>
    <w:rsid w:val="005366FA"/>
    <w:rsid w:val="00537747"/>
    <w:rsid w:val="00542A16"/>
    <w:rsid w:val="00547D07"/>
    <w:rsid w:val="00571982"/>
    <w:rsid w:val="00575E48"/>
    <w:rsid w:val="0058419C"/>
    <w:rsid w:val="005848D7"/>
    <w:rsid w:val="005850E0"/>
    <w:rsid w:val="00585EF2"/>
    <w:rsid w:val="005870B7"/>
    <w:rsid w:val="005918D0"/>
    <w:rsid w:val="005A2B88"/>
    <w:rsid w:val="005B6475"/>
    <w:rsid w:val="005D1464"/>
    <w:rsid w:val="005D3E86"/>
    <w:rsid w:val="005F262E"/>
    <w:rsid w:val="005F4DF0"/>
    <w:rsid w:val="00602246"/>
    <w:rsid w:val="00602BB6"/>
    <w:rsid w:val="00603D06"/>
    <w:rsid w:val="00604D5F"/>
    <w:rsid w:val="0060605D"/>
    <w:rsid w:val="00607480"/>
    <w:rsid w:val="00610E02"/>
    <w:rsid w:val="00610F15"/>
    <w:rsid w:val="0062215B"/>
    <w:rsid w:val="00625CC8"/>
    <w:rsid w:val="00626FD8"/>
    <w:rsid w:val="00646EAC"/>
    <w:rsid w:val="0067182A"/>
    <w:rsid w:val="006773C0"/>
    <w:rsid w:val="006878CB"/>
    <w:rsid w:val="00695CB9"/>
    <w:rsid w:val="006B3EB8"/>
    <w:rsid w:val="006C117B"/>
    <w:rsid w:val="006C4FD0"/>
    <w:rsid w:val="006D1FB3"/>
    <w:rsid w:val="006E1A87"/>
    <w:rsid w:val="006E1E17"/>
    <w:rsid w:val="006E2369"/>
    <w:rsid w:val="006E596C"/>
    <w:rsid w:val="006F53F0"/>
    <w:rsid w:val="006F5D0F"/>
    <w:rsid w:val="00703D44"/>
    <w:rsid w:val="007156C4"/>
    <w:rsid w:val="00716011"/>
    <w:rsid w:val="00723A98"/>
    <w:rsid w:val="00726D17"/>
    <w:rsid w:val="00743286"/>
    <w:rsid w:val="007445F4"/>
    <w:rsid w:val="00745025"/>
    <w:rsid w:val="00751460"/>
    <w:rsid w:val="00751731"/>
    <w:rsid w:val="007532C0"/>
    <w:rsid w:val="00753F46"/>
    <w:rsid w:val="00755716"/>
    <w:rsid w:val="00772BCF"/>
    <w:rsid w:val="00772F48"/>
    <w:rsid w:val="00776AC4"/>
    <w:rsid w:val="007831B3"/>
    <w:rsid w:val="007962BA"/>
    <w:rsid w:val="007A0E6D"/>
    <w:rsid w:val="007B39BB"/>
    <w:rsid w:val="007D1211"/>
    <w:rsid w:val="007D6356"/>
    <w:rsid w:val="00802C3F"/>
    <w:rsid w:val="0080433B"/>
    <w:rsid w:val="00816337"/>
    <w:rsid w:val="008242EB"/>
    <w:rsid w:val="00825F40"/>
    <w:rsid w:val="0082770B"/>
    <w:rsid w:val="00830E8B"/>
    <w:rsid w:val="008515D1"/>
    <w:rsid w:val="00854D92"/>
    <w:rsid w:val="00856620"/>
    <w:rsid w:val="00857244"/>
    <w:rsid w:val="00861DC7"/>
    <w:rsid w:val="0087287B"/>
    <w:rsid w:val="00877521"/>
    <w:rsid w:val="00880393"/>
    <w:rsid w:val="00887229"/>
    <w:rsid w:val="00887468"/>
    <w:rsid w:val="008C2A82"/>
    <w:rsid w:val="008D66FF"/>
    <w:rsid w:val="008E2081"/>
    <w:rsid w:val="008E3AFF"/>
    <w:rsid w:val="00910D70"/>
    <w:rsid w:val="00911323"/>
    <w:rsid w:val="0091637B"/>
    <w:rsid w:val="00920F6F"/>
    <w:rsid w:val="00921B82"/>
    <w:rsid w:val="00930966"/>
    <w:rsid w:val="00947868"/>
    <w:rsid w:val="00953064"/>
    <w:rsid w:val="00963B45"/>
    <w:rsid w:val="00963C5B"/>
    <w:rsid w:val="00976599"/>
    <w:rsid w:val="00977F97"/>
    <w:rsid w:val="009935C0"/>
    <w:rsid w:val="0099456B"/>
    <w:rsid w:val="009A0295"/>
    <w:rsid w:val="009A1DED"/>
    <w:rsid w:val="009A463B"/>
    <w:rsid w:val="009B138A"/>
    <w:rsid w:val="009B2064"/>
    <w:rsid w:val="009B52C9"/>
    <w:rsid w:val="009B6CB6"/>
    <w:rsid w:val="009D5E75"/>
    <w:rsid w:val="009F28AA"/>
    <w:rsid w:val="00A018E4"/>
    <w:rsid w:val="00A0799A"/>
    <w:rsid w:val="00A129C9"/>
    <w:rsid w:val="00A22D60"/>
    <w:rsid w:val="00A349FE"/>
    <w:rsid w:val="00A35BDD"/>
    <w:rsid w:val="00A44F24"/>
    <w:rsid w:val="00A545EC"/>
    <w:rsid w:val="00A55997"/>
    <w:rsid w:val="00A57DDD"/>
    <w:rsid w:val="00A6662F"/>
    <w:rsid w:val="00A668B1"/>
    <w:rsid w:val="00A7399F"/>
    <w:rsid w:val="00A73B4D"/>
    <w:rsid w:val="00A74D80"/>
    <w:rsid w:val="00A83F41"/>
    <w:rsid w:val="00A86D22"/>
    <w:rsid w:val="00A91259"/>
    <w:rsid w:val="00A95045"/>
    <w:rsid w:val="00AA700B"/>
    <w:rsid w:val="00AB0904"/>
    <w:rsid w:val="00AB660A"/>
    <w:rsid w:val="00AC4FA6"/>
    <w:rsid w:val="00AC7E59"/>
    <w:rsid w:val="00AE29C5"/>
    <w:rsid w:val="00AE3A21"/>
    <w:rsid w:val="00AE3CA8"/>
    <w:rsid w:val="00AF10A7"/>
    <w:rsid w:val="00AF4675"/>
    <w:rsid w:val="00B125A9"/>
    <w:rsid w:val="00B13D62"/>
    <w:rsid w:val="00B33D09"/>
    <w:rsid w:val="00B3725F"/>
    <w:rsid w:val="00B620C9"/>
    <w:rsid w:val="00B64484"/>
    <w:rsid w:val="00B653EB"/>
    <w:rsid w:val="00B65736"/>
    <w:rsid w:val="00B7061B"/>
    <w:rsid w:val="00B765C7"/>
    <w:rsid w:val="00B86A50"/>
    <w:rsid w:val="00BC0FE5"/>
    <w:rsid w:val="00BD2664"/>
    <w:rsid w:val="00BE5C39"/>
    <w:rsid w:val="00BE6F4C"/>
    <w:rsid w:val="00BF1FFC"/>
    <w:rsid w:val="00BF6398"/>
    <w:rsid w:val="00C0207B"/>
    <w:rsid w:val="00C0234F"/>
    <w:rsid w:val="00C13D11"/>
    <w:rsid w:val="00C21E6C"/>
    <w:rsid w:val="00C2470A"/>
    <w:rsid w:val="00C438C3"/>
    <w:rsid w:val="00C45047"/>
    <w:rsid w:val="00C52741"/>
    <w:rsid w:val="00C536BA"/>
    <w:rsid w:val="00C60D41"/>
    <w:rsid w:val="00C60E19"/>
    <w:rsid w:val="00C62AD5"/>
    <w:rsid w:val="00C639B4"/>
    <w:rsid w:val="00C66FC8"/>
    <w:rsid w:val="00C8293F"/>
    <w:rsid w:val="00C850EE"/>
    <w:rsid w:val="00CA664A"/>
    <w:rsid w:val="00CB4AC3"/>
    <w:rsid w:val="00CB60BB"/>
    <w:rsid w:val="00CB7724"/>
    <w:rsid w:val="00CC2E31"/>
    <w:rsid w:val="00CC4B75"/>
    <w:rsid w:val="00CD36A4"/>
    <w:rsid w:val="00CD5481"/>
    <w:rsid w:val="00CD7D5F"/>
    <w:rsid w:val="00CF42FF"/>
    <w:rsid w:val="00CF4711"/>
    <w:rsid w:val="00D000A9"/>
    <w:rsid w:val="00D0150A"/>
    <w:rsid w:val="00D06955"/>
    <w:rsid w:val="00D16758"/>
    <w:rsid w:val="00D205A4"/>
    <w:rsid w:val="00D25122"/>
    <w:rsid w:val="00D33194"/>
    <w:rsid w:val="00D4279B"/>
    <w:rsid w:val="00D44521"/>
    <w:rsid w:val="00D51AB0"/>
    <w:rsid w:val="00D704C9"/>
    <w:rsid w:val="00D7625B"/>
    <w:rsid w:val="00D83193"/>
    <w:rsid w:val="00D851A1"/>
    <w:rsid w:val="00D93E2A"/>
    <w:rsid w:val="00D95A70"/>
    <w:rsid w:val="00DA1CF8"/>
    <w:rsid w:val="00DA22DC"/>
    <w:rsid w:val="00DB30B0"/>
    <w:rsid w:val="00DB73C9"/>
    <w:rsid w:val="00DB7A6F"/>
    <w:rsid w:val="00DB7B0C"/>
    <w:rsid w:val="00DD05AD"/>
    <w:rsid w:val="00DD4022"/>
    <w:rsid w:val="00DE36FE"/>
    <w:rsid w:val="00DF38E8"/>
    <w:rsid w:val="00E13236"/>
    <w:rsid w:val="00E13763"/>
    <w:rsid w:val="00E1472E"/>
    <w:rsid w:val="00E256A2"/>
    <w:rsid w:val="00E25B3F"/>
    <w:rsid w:val="00E64182"/>
    <w:rsid w:val="00E721E5"/>
    <w:rsid w:val="00E93F42"/>
    <w:rsid w:val="00E95CA1"/>
    <w:rsid w:val="00EB099B"/>
    <w:rsid w:val="00EB6336"/>
    <w:rsid w:val="00EB7D01"/>
    <w:rsid w:val="00EC03AD"/>
    <w:rsid w:val="00EC0C90"/>
    <w:rsid w:val="00ED140F"/>
    <w:rsid w:val="00EE19F4"/>
    <w:rsid w:val="00EE2C81"/>
    <w:rsid w:val="00EE6584"/>
    <w:rsid w:val="00EF41F3"/>
    <w:rsid w:val="00EF539B"/>
    <w:rsid w:val="00F02AA5"/>
    <w:rsid w:val="00F12D88"/>
    <w:rsid w:val="00F1565F"/>
    <w:rsid w:val="00F20D4C"/>
    <w:rsid w:val="00F2487B"/>
    <w:rsid w:val="00F336F3"/>
    <w:rsid w:val="00F3508C"/>
    <w:rsid w:val="00F4386B"/>
    <w:rsid w:val="00F63872"/>
    <w:rsid w:val="00F65262"/>
    <w:rsid w:val="00F70174"/>
    <w:rsid w:val="00F73CA6"/>
    <w:rsid w:val="00F86A5B"/>
    <w:rsid w:val="00F90A94"/>
    <w:rsid w:val="00FA111D"/>
    <w:rsid w:val="00FA4B92"/>
    <w:rsid w:val="00FB5D02"/>
    <w:rsid w:val="00FC04F8"/>
    <w:rsid w:val="00FC09CC"/>
    <w:rsid w:val="00FE0437"/>
    <w:rsid w:val="00FE3DFF"/>
    <w:rsid w:val="00FE6AE6"/>
    <w:rsid w:val="00FF1870"/>
    <w:rsid w:val="00FF53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58851"/>
  <w15:docId w15:val="{EE5206C7-F4C4-4C77-B3A4-448A90FCE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D4279B"/>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1C68E1"/>
    <w:rPr>
      <w:color w:val="0563C1"/>
      <w:u w:val="single"/>
    </w:rPr>
  </w:style>
  <w:style w:type="paragraph" w:styleId="Lbjegyzetszveg">
    <w:name w:val="footnote text"/>
    <w:basedOn w:val="Norml"/>
    <w:link w:val="LbjegyzetszvegChar"/>
    <w:uiPriority w:val="99"/>
    <w:unhideWhenUsed/>
    <w:rsid w:val="001C68E1"/>
    <w:pPr>
      <w:spacing w:after="0" w:line="240" w:lineRule="auto"/>
    </w:pPr>
    <w:rPr>
      <w:sz w:val="20"/>
      <w:szCs w:val="20"/>
    </w:rPr>
  </w:style>
  <w:style w:type="character" w:customStyle="1" w:styleId="LbjegyzetszvegChar">
    <w:name w:val="Lábjegyzetszöveg Char"/>
    <w:basedOn w:val="Bekezdsalapbettpusa"/>
    <w:link w:val="Lbjegyzetszveg"/>
    <w:uiPriority w:val="99"/>
    <w:rsid w:val="001C68E1"/>
    <w:rPr>
      <w:sz w:val="20"/>
      <w:szCs w:val="20"/>
    </w:rPr>
  </w:style>
  <w:style w:type="character" w:styleId="Lbjegyzet-hivatkozs">
    <w:name w:val="footnote reference"/>
    <w:aliases w:val="Footnote symbol,Footnote Reference Number,Fußnote,Footnote,Footnote Reference Superscript,BVI fnr,Footnote reference number,note TESI,SUPERS,EN Footnote Reference,Times 10 Point,Exposant 3 Point,Ref,de nota al pie, Exposant 3 Point"/>
    <w:basedOn w:val="Bekezdsalapbettpusa"/>
    <w:uiPriority w:val="99"/>
    <w:unhideWhenUsed/>
    <w:rsid w:val="001C68E1"/>
    <w:rPr>
      <w:vertAlign w:val="superscript"/>
    </w:rPr>
  </w:style>
  <w:style w:type="paragraph" w:styleId="Listaszerbekezds">
    <w:name w:val="List Paragraph"/>
    <w:basedOn w:val="Norml"/>
    <w:uiPriority w:val="34"/>
    <w:qFormat/>
    <w:rsid w:val="00194ECF"/>
    <w:pPr>
      <w:ind w:left="720"/>
      <w:contextualSpacing/>
    </w:pPr>
  </w:style>
  <w:style w:type="paragraph" w:styleId="Buborkszveg">
    <w:name w:val="Balloon Text"/>
    <w:basedOn w:val="Norml"/>
    <w:link w:val="BuborkszvegChar"/>
    <w:semiHidden/>
    <w:rsid w:val="00F336F3"/>
    <w:pPr>
      <w:spacing w:after="0" w:line="240" w:lineRule="auto"/>
      <w:jc w:val="both"/>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F336F3"/>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A22D60"/>
    <w:rPr>
      <w:sz w:val="16"/>
      <w:szCs w:val="16"/>
    </w:rPr>
  </w:style>
  <w:style w:type="paragraph" w:styleId="Jegyzetszveg">
    <w:name w:val="annotation text"/>
    <w:basedOn w:val="Norml"/>
    <w:link w:val="JegyzetszvegChar"/>
    <w:uiPriority w:val="99"/>
    <w:semiHidden/>
    <w:unhideWhenUsed/>
    <w:rsid w:val="00A22D60"/>
    <w:pPr>
      <w:spacing w:line="240" w:lineRule="auto"/>
    </w:pPr>
    <w:rPr>
      <w:sz w:val="20"/>
      <w:szCs w:val="20"/>
    </w:rPr>
  </w:style>
  <w:style w:type="character" w:customStyle="1" w:styleId="JegyzetszvegChar">
    <w:name w:val="Jegyzetszöveg Char"/>
    <w:basedOn w:val="Bekezdsalapbettpusa"/>
    <w:link w:val="Jegyzetszveg"/>
    <w:uiPriority w:val="99"/>
    <w:semiHidden/>
    <w:rsid w:val="00A22D60"/>
    <w:rPr>
      <w:sz w:val="20"/>
      <w:szCs w:val="20"/>
    </w:rPr>
  </w:style>
  <w:style w:type="paragraph" w:styleId="Megjegyzstrgya">
    <w:name w:val="annotation subject"/>
    <w:basedOn w:val="Jegyzetszveg"/>
    <w:next w:val="Jegyzetszveg"/>
    <w:link w:val="MegjegyzstrgyaChar"/>
    <w:uiPriority w:val="99"/>
    <w:semiHidden/>
    <w:unhideWhenUsed/>
    <w:rsid w:val="00A22D60"/>
    <w:rPr>
      <w:b/>
      <w:bCs/>
    </w:rPr>
  </w:style>
  <w:style w:type="character" w:customStyle="1" w:styleId="MegjegyzstrgyaChar">
    <w:name w:val="Megjegyzés tárgya Char"/>
    <w:basedOn w:val="JegyzetszvegChar"/>
    <w:link w:val="Megjegyzstrgya"/>
    <w:uiPriority w:val="99"/>
    <w:semiHidden/>
    <w:rsid w:val="00A22D60"/>
    <w:rPr>
      <w:b/>
      <w:bCs/>
      <w:sz w:val="20"/>
      <w:szCs w:val="20"/>
    </w:rPr>
  </w:style>
  <w:style w:type="paragraph" w:styleId="lfej">
    <w:name w:val="header"/>
    <w:basedOn w:val="Norml"/>
    <w:link w:val="lfejChar"/>
    <w:uiPriority w:val="99"/>
    <w:unhideWhenUsed/>
    <w:rsid w:val="00241345"/>
    <w:pPr>
      <w:tabs>
        <w:tab w:val="center" w:pos="4536"/>
        <w:tab w:val="right" w:pos="9072"/>
      </w:tabs>
      <w:spacing w:after="0" w:line="240" w:lineRule="auto"/>
    </w:pPr>
  </w:style>
  <w:style w:type="character" w:customStyle="1" w:styleId="lfejChar">
    <w:name w:val="Élőfej Char"/>
    <w:basedOn w:val="Bekezdsalapbettpusa"/>
    <w:link w:val="lfej"/>
    <w:uiPriority w:val="99"/>
    <w:rsid w:val="00241345"/>
  </w:style>
  <w:style w:type="paragraph" w:styleId="llb">
    <w:name w:val="footer"/>
    <w:basedOn w:val="Norml"/>
    <w:link w:val="llbChar"/>
    <w:uiPriority w:val="99"/>
    <w:unhideWhenUsed/>
    <w:rsid w:val="00241345"/>
    <w:pPr>
      <w:tabs>
        <w:tab w:val="center" w:pos="4536"/>
        <w:tab w:val="right" w:pos="9072"/>
      </w:tabs>
      <w:spacing w:after="0" w:line="240" w:lineRule="auto"/>
    </w:pPr>
  </w:style>
  <w:style w:type="character" w:customStyle="1" w:styleId="llbChar">
    <w:name w:val="Élőláb Char"/>
    <w:basedOn w:val="Bekezdsalapbettpusa"/>
    <w:link w:val="llb"/>
    <w:uiPriority w:val="99"/>
    <w:rsid w:val="00241345"/>
  </w:style>
  <w:style w:type="table" w:styleId="Rcsostblzat">
    <w:name w:val="Table Grid"/>
    <w:basedOn w:val="Normltblzat"/>
    <w:uiPriority w:val="59"/>
    <w:rsid w:val="002B2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rltotthiperhivatkozs">
    <w:name w:val="FollowedHyperlink"/>
    <w:basedOn w:val="Bekezdsalapbettpusa"/>
    <w:uiPriority w:val="99"/>
    <w:semiHidden/>
    <w:unhideWhenUsed/>
    <w:rsid w:val="00880393"/>
    <w:rPr>
      <w:color w:val="800080" w:themeColor="followedHyperlink"/>
      <w:u w:val="single"/>
    </w:rPr>
  </w:style>
  <w:style w:type="paragraph" w:styleId="Vltozat">
    <w:name w:val="Revision"/>
    <w:hidden/>
    <w:uiPriority w:val="99"/>
    <w:semiHidden/>
    <w:rsid w:val="006060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8352647">
      <w:bodyDiv w:val="1"/>
      <w:marLeft w:val="0"/>
      <w:marRight w:val="0"/>
      <w:marTop w:val="0"/>
      <w:marBottom w:val="0"/>
      <w:divBdr>
        <w:top w:val="none" w:sz="0" w:space="0" w:color="auto"/>
        <w:left w:val="none" w:sz="0" w:space="0" w:color="auto"/>
        <w:bottom w:val="none" w:sz="0" w:space="0" w:color="auto"/>
        <w:right w:val="none" w:sz="0" w:space="0" w:color="auto"/>
      </w:divBdr>
      <w:divsChild>
        <w:div w:id="264458386">
          <w:marLeft w:val="0"/>
          <w:marRight w:val="0"/>
          <w:marTop w:val="0"/>
          <w:marBottom w:val="0"/>
          <w:divBdr>
            <w:top w:val="none" w:sz="0" w:space="0" w:color="auto"/>
            <w:left w:val="none" w:sz="0" w:space="0" w:color="auto"/>
            <w:bottom w:val="none" w:sz="0" w:space="0" w:color="auto"/>
            <w:right w:val="none" w:sz="0" w:space="0" w:color="auto"/>
          </w:divBdr>
          <w:divsChild>
            <w:div w:id="1752191703">
              <w:marLeft w:val="0"/>
              <w:marRight w:val="0"/>
              <w:marTop w:val="0"/>
              <w:marBottom w:val="0"/>
              <w:divBdr>
                <w:top w:val="none" w:sz="0" w:space="0" w:color="auto"/>
                <w:left w:val="none" w:sz="0" w:space="0" w:color="auto"/>
                <w:bottom w:val="none" w:sz="0" w:space="0" w:color="auto"/>
                <w:right w:val="none" w:sz="0" w:space="0" w:color="auto"/>
              </w:divBdr>
              <w:divsChild>
                <w:div w:id="17531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ie.org.hu/eloadasok_2016/oszi_konf/Ficsor_Ingadozo_egyensuly_2016_11_24.pdf" TargetMode="External"/><Relationship Id="rId3" Type="http://schemas.openxmlformats.org/officeDocument/2006/relationships/hyperlink" Target="https://eur-lex.europa.eu/legal-content/HU/TXT/?qid=1601468060315&amp;uri=CELEX:02001L0083-20190726" TargetMode="External"/><Relationship Id="rId7" Type="http://schemas.openxmlformats.org/officeDocument/2006/relationships/hyperlink" Target="http://publications.europa.eu/resource/cellar/6e4ce9f8-aa41-11e7-837e-01aa75ed71a1.0001.01/DOC_1" TargetMode="External"/><Relationship Id="rId2" Type="http://schemas.openxmlformats.org/officeDocument/2006/relationships/hyperlink" Target="https://www.govinfo.gov/content/pkg/STATUTE-98/pdf/STATUTE-98-Pg1585.pdf" TargetMode="External"/><Relationship Id="rId1" Type="http://schemas.openxmlformats.org/officeDocument/2006/relationships/hyperlink" Target="https://law.justia.com/cases/federal/appellate-courts/F2/733/858/459501/" TargetMode="External"/><Relationship Id="rId6" Type="http://schemas.openxmlformats.org/officeDocument/2006/relationships/hyperlink" Target="https://www.taylorwessing.com/synapse/ti-bolar-provision.html" TargetMode="External"/><Relationship Id="rId5" Type="http://schemas.openxmlformats.org/officeDocument/2006/relationships/hyperlink" Target="http://curia.europa.eu/juris/liste.jsf?oqp=&amp;for=&amp;mat=or&amp;jge=&amp;td=%3BALL&amp;jur=C%2CT%2CF&amp;num=C-661%252F13&amp;page=1&amp;dates=&amp;pcs=Oor&amp;lg=&amp;pro=&amp;nat=or&amp;cit=none%252CC%252CCJ%252CR%252C2008E%252C%252C%252C%252C%252C%252C%252C%252C%252C%252Ctrue%252Cfalse%252Cfalse&amp;language=en&amp;avg=&amp;cid=5123580" TargetMode="External"/><Relationship Id="rId10" Type="http://schemas.openxmlformats.org/officeDocument/2006/relationships/hyperlink" Target="https://ec.europa.eu/growth/industry/policy/intellectual-property_en" TargetMode="External"/><Relationship Id="rId4" Type="http://schemas.openxmlformats.org/officeDocument/2006/relationships/hyperlink" Target="https://www.wipo.int/wipo_magazine/en/2014/03/article_0004.html" TargetMode="External"/><Relationship Id="rId9" Type="http://schemas.openxmlformats.org/officeDocument/2006/relationships/hyperlink" Target="http://www.mie.org.hu/eloadasok_2018/tavaszi_konf/RichterSPCpanelMIE_2018_05_11.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0479D-6862-4FE5-84F6-93DF1590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3368</Words>
  <Characters>23240</Characters>
  <Application>Microsoft Office Word</Application>
  <DocSecurity>0</DocSecurity>
  <Lines>193</Lines>
  <Paragraphs>53</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Báthory Zsófia dr.</dc:creator>
  <cp:lastModifiedBy>Szilágyi Katalin</cp:lastModifiedBy>
  <cp:revision>2</cp:revision>
  <dcterms:created xsi:type="dcterms:W3CDTF">2020-12-22T07:49:00Z</dcterms:created>
  <dcterms:modified xsi:type="dcterms:W3CDTF">2020-12-22T07:49:00Z</dcterms:modified>
</cp:coreProperties>
</file>